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3049" w:rsidRPr="002D3049" w:rsidRDefault="002D3049" w:rsidP="00313842">
      <w:pPr>
        <w:pStyle w:val="Heading1"/>
      </w:pPr>
      <w:proofErr w:type="spellStart"/>
      <w:r w:rsidRPr="002D3049">
        <w:t>Microgeneration</w:t>
      </w:r>
      <w:proofErr w:type="spellEnd"/>
      <w:r w:rsidRPr="002D3049">
        <w:t xml:space="preserve"> Government-</w:t>
      </w:r>
      <w:r w:rsidRPr="00313842">
        <w:t>Industry</w:t>
      </w:r>
      <w:r w:rsidRPr="002D3049">
        <w:t xml:space="preserve"> Contact Group</w:t>
      </w:r>
    </w:p>
    <w:p w:rsidR="002D3049" w:rsidRPr="002D3049" w:rsidRDefault="008B1021" w:rsidP="008B1021">
      <w:pPr>
        <w:pStyle w:val="Heading3"/>
      </w:pPr>
      <w:r>
        <w:t xml:space="preserve">DRAFT </w:t>
      </w:r>
      <w:r w:rsidR="002D3049" w:rsidRPr="002D3049">
        <w:t>Notes from the meeting 2</w:t>
      </w:r>
      <w:r w:rsidR="00313842">
        <w:t>7</w:t>
      </w:r>
      <w:r w:rsidR="002D3049" w:rsidRPr="002D3049">
        <w:t xml:space="preserve"> </w:t>
      </w:r>
      <w:r w:rsidR="00313842">
        <w:t>September</w:t>
      </w:r>
      <w:r w:rsidR="002D3049" w:rsidRPr="002D3049">
        <w:t xml:space="preserve"> 2011, 1</w:t>
      </w:r>
      <w:r w:rsidR="00313842">
        <w:t>4</w:t>
      </w:r>
      <w:r w:rsidR="002D3049" w:rsidRPr="002D3049">
        <w:t>:00</w:t>
      </w:r>
      <w:r w:rsidR="002D3049" w:rsidRPr="002D3049">
        <w:rPr>
          <w:sz w:val="16"/>
        </w:rPr>
        <w:t> </w:t>
      </w:r>
      <w:r w:rsidR="002D3049" w:rsidRPr="002D3049">
        <w:t>–</w:t>
      </w:r>
      <w:r w:rsidR="002D3049" w:rsidRPr="002D3049">
        <w:rPr>
          <w:sz w:val="20"/>
        </w:rPr>
        <w:t> </w:t>
      </w:r>
      <w:r w:rsidR="002D3049" w:rsidRPr="002D3049">
        <w:t>1</w:t>
      </w:r>
      <w:r w:rsidR="00313842">
        <w:t>6</w:t>
      </w:r>
      <w:r w:rsidR="002D3049" w:rsidRPr="002D3049">
        <w:t>:</w:t>
      </w:r>
      <w:r w:rsidR="00313842">
        <w:t>3</w:t>
      </w:r>
      <w:r w:rsidR="002D3049" w:rsidRPr="002D3049">
        <w:t xml:space="preserve">0 at </w:t>
      </w:r>
      <w:r w:rsidR="00313842">
        <w:t>Enterprise</w:t>
      </w:r>
      <w:r>
        <w:t> </w:t>
      </w:r>
      <w:r w:rsidR="00313842">
        <w:t>rooms</w:t>
      </w:r>
    </w:p>
    <w:p w:rsidR="00800D70" w:rsidRPr="00800D70" w:rsidRDefault="00800D70" w:rsidP="005C799F">
      <w:pPr>
        <w:pStyle w:val="Heading4"/>
      </w:pPr>
      <w:r w:rsidRPr="005C799F">
        <w:t>Attendance</w:t>
      </w:r>
    </w:p>
    <w:tbl>
      <w:tblPr>
        <w:tblW w:w="11551" w:type="dxa"/>
        <w:tblInd w:w="108" w:type="dxa"/>
        <w:tblLook w:val="04A0" w:firstRow="1" w:lastRow="0" w:firstColumn="1" w:lastColumn="0" w:noHBand="0" w:noVBand="1"/>
      </w:tblPr>
      <w:tblGrid>
        <w:gridCol w:w="470"/>
        <w:gridCol w:w="2195"/>
        <w:gridCol w:w="1091"/>
        <w:gridCol w:w="1414"/>
        <w:gridCol w:w="767"/>
        <w:gridCol w:w="3450"/>
        <w:gridCol w:w="2039"/>
        <w:gridCol w:w="125"/>
      </w:tblGrid>
      <w:tr w:rsidR="0094513F" w:rsidRPr="0094513F" w:rsidTr="0094513F">
        <w:trPr>
          <w:gridAfter w:val="2"/>
          <w:wAfter w:w="2164" w:type="dxa"/>
          <w:trHeight w:val="300"/>
        </w:trPr>
        <w:tc>
          <w:tcPr>
            <w:tcW w:w="470" w:type="dxa"/>
            <w:tcBorders>
              <w:top w:val="nil"/>
              <w:left w:val="nil"/>
              <w:bottom w:val="nil"/>
              <w:right w:val="single" w:sz="2" w:space="0" w:color="31313D"/>
            </w:tcBorders>
            <w:shd w:val="clear" w:color="auto" w:fill="auto"/>
            <w:noWrap/>
            <w:vAlign w:val="center"/>
            <w:hideMark/>
          </w:tcPr>
          <w:p w:rsidR="00E86ABB" w:rsidRPr="0094513F" w:rsidRDefault="00E86ABB" w:rsidP="00800D70">
            <w:pPr>
              <w:jc w:val="right"/>
              <w:rPr>
                <w:rFonts w:cs="Calibri"/>
                <w:szCs w:val="22"/>
              </w:rPr>
            </w:pPr>
            <w:bookmarkStart w:id="0" w:name="RANGE!A1:F36"/>
            <w:bookmarkEnd w:id="0"/>
            <w:r w:rsidRPr="0094513F">
              <w:rPr>
                <w:rFonts w:cs="Calibri"/>
                <w:szCs w:val="22"/>
              </w:rPr>
              <w:t>1</w:t>
            </w:r>
          </w:p>
        </w:tc>
        <w:tc>
          <w:tcPr>
            <w:tcW w:w="2195" w:type="dxa"/>
            <w:tcBorders>
              <w:top w:val="single" w:sz="2" w:space="0" w:color="31313D"/>
              <w:left w:val="single" w:sz="2" w:space="0" w:color="31313D"/>
              <w:bottom w:val="single" w:sz="2" w:space="0" w:color="31313D"/>
              <w:right w:val="single" w:sz="2" w:space="0" w:color="31313D"/>
            </w:tcBorders>
            <w:shd w:val="clear" w:color="auto" w:fill="auto"/>
            <w:noWrap/>
            <w:vAlign w:val="center"/>
            <w:hideMark/>
          </w:tcPr>
          <w:p w:rsidR="00E86ABB" w:rsidRPr="0094513F" w:rsidRDefault="00E86ABB" w:rsidP="00800D70">
            <w:pPr>
              <w:rPr>
                <w:rFonts w:cs="Calibri"/>
                <w:szCs w:val="22"/>
              </w:rPr>
            </w:pPr>
            <w:r w:rsidRPr="0094513F">
              <w:rPr>
                <w:rFonts w:cs="Calibri"/>
                <w:szCs w:val="22"/>
              </w:rPr>
              <w:t>CHPA</w:t>
            </w:r>
          </w:p>
        </w:tc>
        <w:tc>
          <w:tcPr>
            <w:tcW w:w="1091" w:type="dxa"/>
            <w:tcBorders>
              <w:top w:val="single" w:sz="2" w:space="0" w:color="31313D"/>
              <w:left w:val="single" w:sz="2" w:space="0" w:color="31313D"/>
              <w:bottom w:val="single" w:sz="2" w:space="0" w:color="31313D"/>
              <w:right w:val="nil"/>
            </w:tcBorders>
            <w:shd w:val="clear" w:color="auto" w:fill="auto"/>
            <w:noWrap/>
            <w:vAlign w:val="center"/>
            <w:hideMark/>
          </w:tcPr>
          <w:p w:rsidR="00E86ABB" w:rsidRPr="0094513F" w:rsidRDefault="00E86ABB" w:rsidP="00800D70">
            <w:pPr>
              <w:rPr>
                <w:rFonts w:cs="Calibri"/>
                <w:szCs w:val="22"/>
              </w:rPr>
            </w:pPr>
            <w:r w:rsidRPr="0094513F">
              <w:rPr>
                <w:rFonts w:cs="Calibri"/>
                <w:szCs w:val="22"/>
              </w:rPr>
              <w:t>Ian</w:t>
            </w:r>
          </w:p>
        </w:tc>
        <w:tc>
          <w:tcPr>
            <w:tcW w:w="1414" w:type="dxa"/>
            <w:tcBorders>
              <w:top w:val="single" w:sz="2" w:space="0" w:color="31313D"/>
              <w:left w:val="nil"/>
              <w:bottom w:val="single" w:sz="2" w:space="0" w:color="31313D"/>
              <w:right w:val="single" w:sz="2" w:space="0" w:color="31313D"/>
            </w:tcBorders>
            <w:shd w:val="clear" w:color="auto" w:fill="auto"/>
            <w:noWrap/>
            <w:vAlign w:val="center"/>
            <w:hideMark/>
          </w:tcPr>
          <w:p w:rsidR="00E86ABB" w:rsidRPr="0094513F" w:rsidRDefault="00E86ABB" w:rsidP="00800D70">
            <w:pPr>
              <w:rPr>
                <w:rFonts w:cs="Calibri"/>
                <w:szCs w:val="22"/>
              </w:rPr>
            </w:pPr>
            <w:proofErr w:type="spellStart"/>
            <w:r w:rsidRPr="0094513F">
              <w:rPr>
                <w:rFonts w:cs="Calibri"/>
                <w:szCs w:val="22"/>
              </w:rPr>
              <w:t>Manders</w:t>
            </w:r>
            <w:proofErr w:type="spellEnd"/>
          </w:p>
        </w:tc>
        <w:tc>
          <w:tcPr>
            <w:tcW w:w="767" w:type="dxa"/>
            <w:tcBorders>
              <w:top w:val="nil"/>
              <w:left w:val="single" w:sz="2" w:space="0" w:color="31313D"/>
              <w:bottom w:val="nil"/>
              <w:right w:val="nil"/>
            </w:tcBorders>
          </w:tcPr>
          <w:p w:rsidR="00E86ABB" w:rsidRPr="0094513F" w:rsidRDefault="000A2A04" w:rsidP="00800D70">
            <w:pPr>
              <w:rPr>
                <w:rFonts w:cs="Calibri"/>
                <w:szCs w:val="22"/>
              </w:rPr>
            </w:pPr>
            <w:r w:rsidRPr="0094513F">
              <w:rPr>
                <w:rFonts w:cs="Calibri"/>
                <w:szCs w:val="22"/>
              </w:rPr>
              <w:t>IM</w:t>
            </w:r>
          </w:p>
        </w:tc>
        <w:tc>
          <w:tcPr>
            <w:tcW w:w="3450" w:type="dxa"/>
            <w:tcBorders>
              <w:top w:val="nil"/>
              <w:left w:val="nil"/>
              <w:bottom w:val="nil"/>
              <w:right w:val="nil"/>
            </w:tcBorders>
            <w:shd w:val="clear" w:color="auto" w:fill="auto"/>
            <w:noWrap/>
            <w:vAlign w:val="center"/>
            <w:hideMark/>
          </w:tcPr>
          <w:p w:rsidR="00E86ABB" w:rsidRPr="0094513F" w:rsidRDefault="00E86ABB" w:rsidP="00800D70">
            <w:pPr>
              <w:rPr>
                <w:rFonts w:cs="Calibri"/>
                <w:szCs w:val="22"/>
              </w:rPr>
            </w:pPr>
          </w:p>
        </w:tc>
      </w:tr>
      <w:tr w:rsidR="0094513F" w:rsidRPr="0094513F" w:rsidTr="0094513F">
        <w:trPr>
          <w:gridAfter w:val="2"/>
          <w:wAfter w:w="2164" w:type="dxa"/>
          <w:trHeight w:val="300"/>
        </w:trPr>
        <w:tc>
          <w:tcPr>
            <w:tcW w:w="470" w:type="dxa"/>
            <w:tcBorders>
              <w:top w:val="nil"/>
              <w:left w:val="nil"/>
              <w:bottom w:val="nil"/>
              <w:right w:val="single" w:sz="2" w:space="0" w:color="31313D"/>
            </w:tcBorders>
            <w:shd w:val="clear" w:color="auto" w:fill="auto"/>
            <w:noWrap/>
            <w:vAlign w:val="center"/>
          </w:tcPr>
          <w:p w:rsidR="00E86ABB" w:rsidRPr="0094513F" w:rsidRDefault="00E86ABB" w:rsidP="00800D70">
            <w:pPr>
              <w:jc w:val="right"/>
              <w:rPr>
                <w:rFonts w:cs="Calibri"/>
                <w:szCs w:val="22"/>
              </w:rPr>
            </w:pPr>
            <w:r w:rsidRPr="0094513F">
              <w:rPr>
                <w:rFonts w:cs="Calibri"/>
                <w:szCs w:val="22"/>
              </w:rPr>
              <w:t>2</w:t>
            </w:r>
          </w:p>
        </w:tc>
        <w:tc>
          <w:tcPr>
            <w:tcW w:w="2195" w:type="dxa"/>
            <w:tcBorders>
              <w:top w:val="single" w:sz="2" w:space="0" w:color="31313D"/>
              <w:left w:val="single" w:sz="2" w:space="0" w:color="31313D"/>
              <w:bottom w:val="single" w:sz="2" w:space="0" w:color="31313D"/>
              <w:right w:val="single" w:sz="2" w:space="0" w:color="31313D"/>
            </w:tcBorders>
            <w:shd w:val="clear" w:color="auto" w:fill="auto"/>
            <w:noWrap/>
            <w:vAlign w:val="center"/>
          </w:tcPr>
          <w:p w:rsidR="00E86ABB" w:rsidRPr="0094513F" w:rsidRDefault="00E86ABB" w:rsidP="00800D70">
            <w:pPr>
              <w:rPr>
                <w:rFonts w:cs="Calibri"/>
                <w:szCs w:val="22"/>
              </w:rPr>
            </w:pPr>
            <w:r w:rsidRPr="0094513F">
              <w:rPr>
                <w:rFonts w:cs="Calibri"/>
                <w:szCs w:val="22"/>
              </w:rPr>
              <w:t>Consumer Focus</w:t>
            </w:r>
          </w:p>
        </w:tc>
        <w:tc>
          <w:tcPr>
            <w:tcW w:w="1091" w:type="dxa"/>
            <w:tcBorders>
              <w:top w:val="single" w:sz="2" w:space="0" w:color="31313D"/>
              <w:left w:val="single" w:sz="2" w:space="0" w:color="31313D"/>
              <w:bottom w:val="single" w:sz="2" w:space="0" w:color="31313D"/>
              <w:right w:val="nil"/>
            </w:tcBorders>
            <w:shd w:val="clear" w:color="auto" w:fill="auto"/>
            <w:noWrap/>
            <w:vAlign w:val="center"/>
          </w:tcPr>
          <w:p w:rsidR="00E86ABB" w:rsidRPr="0094513F" w:rsidRDefault="00E86ABB" w:rsidP="00800D70">
            <w:pPr>
              <w:rPr>
                <w:rFonts w:cs="Calibri"/>
                <w:szCs w:val="22"/>
              </w:rPr>
            </w:pPr>
            <w:r w:rsidRPr="0094513F">
              <w:rPr>
                <w:rFonts w:cs="Calibri"/>
                <w:szCs w:val="22"/>
              </w:rPr>
              <w:t>Liz</w:t>
            </w:r>
          </w:p>
        </w:tc>
        <w:tc>
          <w:tcPr>
            <w:tcW w:w="1414" w:type="dxa"/>
            <w:tcBorders>
              <w:top w:val="single" w:sz="2" w:space="0" w:color="31313D"/>
              <w:left w:val="nil"/>
              <w:bottom w:val="single" w:sz="2" w:space="0" w:color="31313D"/>
              <w:right w:val="single" w:sz="2" w:space="0" w:color="31313D"/>
            </w:tcBorders>
            <w:shd w:val="clear" w:color="auto" w:fill="auto"/>
            <w:noWrap/>
            <w:vAlign w:val="center"/>
          </w:tcPr>
          <w:p w:rsidR="00E86ABB" w:rsidRPr="0094513F" w:rsidRDefault="00E86ABB" w:rsidP="00800D70">
            <w:pPr>
              <w:rPr>
                <w:rFonts w:cs="Calibri"/>
                <w:szCs w:val="22"/>
              </w:rPr>
            </w:pPr>
            <w:proofErr w:type="spellStart"/>
            <w:r w:rsidRPr="0094513F">
              <w:rPr>
                <w:rFonts w:cs="Calibri"/>
                <w:szCs w:val="22"/>
              </w:rPr>
              <w:t>Laine</w:t>
            </w:r>
            <w:proofErr w:type="spellEnd"/>
          </w:p>
        </w:tc>
        <w:tc>
          <w:tcPr>
            <w:tcW w:w="767" w:type="dxa"/>
            <w:tcBorders>
              <w:top w:val="nil"/>
              <w:left w:val="single" w:sz="2" w:space="0" w:color="31313D"/>
              <w:bottom w:val="nil"/>
              <w:right w:val="nil"/>
            </w:tcBorders>
          </w:tcPr>
          <w:p w:rsidR="00E86ABB" w:rsidRPr="0094513F" w:rsidRDefault="000A2A04" w:rsidP="00800D70">
            <w:pPr>
              <w:rPr>
                <w:rFonts w:cs="Calibri"/>
                <w:szCs w:val="22"/>
              </w:rPr>
            </w:pPr>
            <w:r w:rsidRPr="0094513F">
              <w:rPr>
                <w:rFonts w:cs="Calibri"/>
                <w:szCs w:val="22"/>
              </w:rPr>
              <w:t>LL</w:t>
            </w:r>
          </w:p>
        </w:tc>
        <w:tc>
          <w:tcPr>
            <w:tcW w:w="3450" w:type="dxa"/>
            <w:tcBorders>
              <w:top w:val="nil"/>
              <w:left w:val="nil"/>
              <w:bottom w:val="nil"/>
              <w:right w:val="nil"/>
            </w:tcBorders>
            <w:shd w:val="clear" w:color="auto" w:fill="auto"/>
            <w:noWrap/>
            <w:vAlign w:val="center"/>
          </w:tcPr>
          <w:p w:rsidR="00E86ABB" w:rsidRPr="0094513F" w:rsidRDefault="00E86ABB" w:rsidP="00800D70">
            <w:pPr>
              <w:rPr>
                <w:rFonts w:cs="Calibri"/>
                <w:szCs w:val="22"/>
              </w:rPr>
            </w:pPr>
          </w:p>
        </w:tc>
      </w:tr>
      <w:tr w:rsidR="0094513F" w:rsidRPr="0094513F" w:rsidTr="0094513F">
        <w:trPr>
          <w:gridAfter w:val="2"/>
          <w:wAfter w:w="2164" w:type="dxa"/>
          <w:trHeight w:val="300"/>
        </w:trPr>
        <w:tc>
          <w:tcPr>
            <w:tcW w:w="470" w:type="dxa"/>
            <w:tcBorders>
              <w:top w:val="nil"/>
              <w:left w:val="nil"/>
              <w:bottom w:val="nil"/>
              <w:right w:val="single" w:sz="2" w:space="0" w:color="31313D"/>
            </w:tcBorders>
            <w:shd w:val="clear" w:color="auto" w:fill="auto"/>
            <w:noWrap/>
            <w:vAlign w:val="center"/>
          </w:tcPr>
          <w:p w:rsidR="00E86ABB" w:rsidRPr="0094513F" w:rsidRDefault="00E86ABB" w:rsidP="00800D70">
            <w:pPr>
              <w:jc w:val="right"/>
              <w:rPr>
                <w:rFonts w:cs="Calibri"/>
                <w:szCs w:val="22"/>
              </w:rPr>
            </w:pPr>
            <w:r w:rsidRPr="0094513F">
              <w:rPr>
                <w:rFonts w:cs="Calibri"/>
                <w:szCs w:val="22"/>
              </w:rPr>
              <w:t>3</w:t>
            </w:r>
          </w:p>
        </w:tc>
        <w:tc>
          <w:tcPr>
            <w:tcW w:w="2195" w:type="dxa"/>
            <w:tcBorders>
              <w:top w:val="single" w:sz="2" w:space="0" w:color="31313D"/>
              <w:left w:val="single" w:sz="2" w:space="0" w:color="31313D"/>
              <w:bottom w:val="single" w:sz="2" w:space="0" w:color="31313D"/>
              <w:right w:val="single" w:sz="2" w:space="0" w:color="31313D"/>
            </w:tcBorders>
            <w:shd w:val="clear" w:color="auto" w:fill="auto"/>
            <w:noWrap/>
            <w:vAlign w:val="center"/>
          </w:tcPr>
          <w:p w:rsidR="00E86ABB" w:rsidRPr="0094513F" w:rsidRDefault="00E86ABB" w:rsidP="00800D70">
            <w:pPr>
              <w:rPr>
                <w:rFonts w:cs="Calibri"/>
                <w:szCs w:val="22"/>
              </w:rPr>
            </w:pPr>
            <w:proofErr w:type="spellStart"/>
            <w:r w:rsidRPr="0094513F">
              <w:rPr>
                <w:rFonts w:cs="Calibri"/>
                <w:szCs w:val="22"/>
              </w:rPr>
              <w:t>Gemserv</w:t>
            </w:r>
            <w:proofErr w:type="spellEnd"/>
          </w:p>
        </w:tc>
        <w:tc>
          <w:tcPr>
            <w:tcW w:w="1091" w:type="dxa"/>
            <w:tcBorders>
              <w:top w:val="single" w:sz="2" w:space="0" w:color="31313D"/>
              <w:left w:val="single" w:sz="2" w:space="0" w:color="31313D"/>
              <w:bottom w:val="single" w:sz="2" w:space="0" w:color="31313D"/>
              <w:right w:val="nil"/>
            </w:tcBorders>
            <w:shd w:val="clear" w:color="auto" w:fill="auto"/>
            <w:noWrap/>
            <w:vAlign w:val="center"/>
          </w:tcPr>
          <w:p w:rsidR="00E86ABB" w:rsidRPr="0094513F" w:rsidRDefault="00E86ABB" w:rsidP="00800D70">
            <w:pPr>
              <w:rPr>
                <w:rFonts w:cs="Calibri"/>
                <w:szCs w:val="22"/>
              </w:rPr>
            </w:pPr>
            <w:r w:rsidRPr="0094513F">
              <w:rPr>
                <w:rFonts w:cs="Calibri"/>
                <w:szCs w:val="22"/>
              </w:rPr>
              <w:t>Brendan</w:t>
            </w:r>
          </w:p>
        </w:tc>
        <w:tc>
          <w:tcPr>
            <w:tcW w:w="1414" w:type="dxa"/>
            <w:tcBorders>
              <w:top w:val="single" w:sz="2" w:space="0" w:color="31313D"/>
              <w:left w:val="nil"/>
              <w:bottom w:val="single" w:sz="2" w:space="0" w:color="31313D"/>
              <w:right w:val="single" w:sz="2" w:space="0" w:color="31313D"/>
            </w:tcBorders>
            <w:shd w:val="clear" w:color="auto" w:fill="auto"/>
            <w:noWrap/>
            <w:vAlign w:val="center"/>
          </w:tcPr>
          <w:p w:rsidR="00E86ABB" w:rsidRPr="0094513F" w:rsidRDefault="00E86ABB" w:rsidP="00800D70">
            <w:pPr>
              <w:rPr>
                <w:rFonts w:cs="Calibri"/>
                <w:szCs w:val="22"/>
              </w:rPr>
            </w:pPr>
            <w:proofErr w:type="spellStart"/>
            <w:r w:rsidRPr="0094513F">
              <w:rPr>
                <w:rFonts w:cs="Calibri"/>
                <w:szCs w:val="22"/>
              </w:rPr>
              <w:t>McGarry</w:t>
            </w:r>
            <w:proofErr w:type="spellEnd"/>
          </w:p>
        </w:tc>
        <w:tc>
          <w:tcPr>
            <w:tcW w:w="767" w:type="dxa"/>
            <w:tcBorders>
              <w:top w:val="nil"/>
              <w:left w:val="single" w:sz="2" w:space="0" w:color="31313D"/>
              <w:bottom w:val="nil"/>
              <w:right w:val="nil"/>
            </w:tcBorders>
          </w:tcPr>
          <w:p w:rsidR="00E86ABB" w:rsidRPr="0094513F" w:rsidRDefault="000A2A04" w:rsidP="00800D70">
            <w:pPr>
              <w:rPr>
                <w:rFonts w:cs="Calibri"/>
                <w:szCs w:val="22"/>
              </w:rPr>
            </w:pPr>
            <w:proofErr w:type="spellStart"/>
            <w:r w:rsidRPr="0094513F">
              <w:rPr>
                <w:rFonts w:cs="Calibri"/>
                <w:szCs w:val="22"/>
              </w:rPr>
              <w:t>BMcG</w:t>
            </w:r>
            <w:proofErr w:type="spellEnd"/>
          </w:p>
        </w:tc>
        <w:tc>
          <w:tcPr>
            <w:tcW w:w="3450" w:type="dxa"/>
            <w:tcBorders>
              <w:top w:val="nil"/>
              <w:left w:val="nil"/>
              <w:bottom w:val="nil"/>
              <w:right w:val="nil"/>
            </w:tcBorders>
            <w:shd w:val="clear" w:color="auto" w:fill="auto"/>
            <w:noWrap/>
            <w:vAlign w:val="center"/>
          </w:tcPr>
          <w:p w:rsidR="00E86ABB" w:rsidRPr="0094513F" w:rsidRDefault="00E86ABB" w:rsidP="00800D70">
            <w:pPr>
              <w:rPr>
                <w:rFonts w:cs="Calibri"/>
                <w:szCs w:val="22"/>
              </w:rPr>
            </w:pPr>
          </w:p>
        </w:tc>
      </w:tr>
      <w:tr w:rsidR="0094513F" w:rsidRPr="0094513F" w:rsidTr="0094513F">
        <w:trPr>
          <w:gridAfter w:val="2"/>
          <w:wAfter w:w="2164" w:type="dxa"/>
          <w:trHeight w:val="300"/>
        </w:trPr>
        <w:tc>
          <w:tcPr>
            <w:tcW w:w="470" w:type="dxa"/>
            <w:tcBorders>
              <w:top w:val="nil"/>
              <w:left w:val="nil"/>
              <w:bottom w:val="nil"/>
              <w:right w:val="single" w:sz="2" w:space="0" w:color="31313D"/>
            </w:tcBorders>
            <w:shd w:val="clear" w:color="auto" w:fill="auto"/>
            <w:noWrap/>
          </w:tcPr>
          <w:p w:rsidR="00E86ABB" w:rsidRPr="0094513F" w:rsidRDefault="00E86ABB" w:rsidP="005C799F">
            <w:pPr>
              <w:jc w:val="right"/>
              <w:rPr>
                <w:rFonts w:cs="Calibri"/>
                <w:szCs w:val="22"/>
              </w:rPr>
            </w:pPr>
            <w:r w:rsidRPr="0094513F">
              <w:rPr>
                <w:rFonts w:cs="Calibri"/>
                <w:szCs w:val="22"/>
              </w:rPr>
              <w:t>4</w:t>
            </w:r>
          </w:p>
        </w:tc>
        <w:tc>
          <w:tcPr>
            <w:tcW w:w="2195" w:type="dxa"/>
            <w:tcBorders>
              <w:top w:val="single" w:sz="2" w:space="0" w:color="31313D"/>
              <w:left w:val="single" w:sz="2" w:space="0" w:color="31313D"/>
              <w:bottom w:val="single" w:sz="2" w:space="0" w:color="31313D"/>
              <w:right w:val="single" w:sz="2" w:space="0" w:color="31313D"/>
            </w:tcBorders>
            <w:shd w:val="clear" w:color="auto" w:fill="auto"/>
            <w:noWrap/>
          </w:tcPr>
          <w:p w:rsidR="00E86ABB" w:rsidRPr="0094513F" w:rsidRDefault="00E86ABB" w:rsidP="00313842">
            <w:pPr>
              <w:rPr>
                <w:rFonts w:cs="Calibri"/>
                <w:szCs w:val="22"/>
              </w:rPr>
            </w:pPr>
            <w:r w:rsidRPr="0094513F">
              <w:rPr>
                <w:rFonts w:cs="Calibri"/>
                <w:szCs w:val="22"/>
              </w:rPr>
              <w:t>GSHP Association</w:t>
            </w:r>
          </w:p>
        </w:tc>
        <w:tc>
          <w:tcPr>
            <w:tcW w:w="1091" w:type="dxa"/>
            <w:tcBorders>
              <w:top w:val="single" w:sz="2" w:space="0" w:color="31313D"/>
              <w:left w:val="single" w:sz="2" w:space="0" w:color="31313D"/>
              <w:bottom w:val="single" w:sz="2" w:space="0" w:color="31313D"/>
              <w:right w:val="nil"/>
            </w:tcBorders>
            <w:shd w:val="clear" w:color="auto" w:fill="auto"/>
            <w:noWrap/>
          </w:tcPr>
          <w:p w:rsidR="00E86ABB" w:rsidRPr="0094513F" w:rsidRDefault="00E86ABB" w:rsidP="00313842">
            <w:pPr>
              <w:rPr>
                <w:rFonts w:cs="Calibri"/>
                <w:szCs w:val="22"/>
              </w:rPr>
            </w:pPr>
            <w:r w:rsidRPr="0094513F">
              <w:rPr>
                <w:rFonts w:cs="Calibri"/>
                <w:szCs w:val="22"/>
              </w:rPr>
              <w:t xml:space="preserve">David </w:t>
            </w:r>
          </w:p>
        </w:tc>
        <w:tc>
          <w:tcPr>
            <w:tcW w:w="1414" w:type="dxa"/>
            <w:tcBorders>
              <w:top w:val="single" w:sz="2" w:space="0" w:color="31313D"/>
              <w:left w:val="nil"/>
              <w:bottom w:val="single" w:sz="2" w:space="0" w:color="31313D"/>
              <w:right w:val="single" w:sz="2" w:space="0" w:color="31313D"/>
            </w:tcBorders>
            <w:shd w:val="clear" w:color="auto" w:fill="auto"/>
            <w:noWrap/>
          </w:tcPr>
          <w:p w:rsidR="00E86ABB" w:rsidRPr="0094513F" w:rsidRDefault="00E86ABB" w:rsidP="00313842">
            <w:pPr>
              <w:rPr>
                <w:rFonts w:cs="Calibri"/>
                <w:szCs w:val="22"/>
              </w:rPr>
            </w:pPr>
            <w:r w:rsidRPr="0094513F">
              <w:rPr>
                <w:rFonts w:cs="Calibri"/>
                <w:szCs w:val="22"/>
              </w:rPr>
              <w:t>Matthews</w:t>
            </w:r>
          </w:p>
        </w:tc>
        <w:tc>
          <w:tcPr>
            <w:tcW w:w="767" w:type="dxa"/>
            <w:tcBorders>
              <w:top w:val="nil"/>
              <w:left w:val="single" w:sz="2" w:space="0" w:color="31313D"/>
              <w:bottom w:val="nil"/>
              <w:right w:val="nil"/>
            </w:tcBorders>
          </w:tcPr>
          <w:p w:rsidR="00E86ABB" w:rsidRPr="0094513F" w:rsidRDefault="00E8619E" w:rsidP="00313842">
            <w:pPr>
              <w:rPr>
                <w:rFonts w:cs="Calibri"/>
                <w:szCs w:val="22"/>
              </w:rPr>
            </w:pPr>
            <w:r w:rsidRPr="0094513F">
              <w:rPr>
                <w:rFonts w:cs="Calibri"/>
                <w:szCs w:val="22"/>
              </w:rPr>
              <w:t>DM</w:t>
            </w:r>
          </w:p>
        </w:tc>
        <w:tc>
          <w:tcPr>
            <w:tcW w:w="3450" w:type="dxa"/>
            <w:tcBorders>
              <w:top w:val="nil"/>
              <w:left w:val="nil"/>
              <w:bottom w:val="nil"/>
              <w:right w:val="nil"/>
            </w:tcBorders>
            <w:shd w:val="clear" w:color="auto" w:fill="auto"/>
            <w:noWrap/>
          </w:tcPr>
          <w:p w:rsidR="00E86ABB" w:rsidRPr="0094513F" w:rsidRDefault="00E86ABB" w:rsidP="00313842">
            <w:pPr>
              <w:rPr>
                <w:rFonts w:cs="Calibri"/>
                <w:szCs w:val="22"/>
              </w:rPr>
            </w:pPr>
          </w:p>
        </w:tc>
      </w:tr>
      <w:tr w:rsidR="0094513F" w:rsidRPr="0094513F" w:rsidTr="0094513F">
        <w:trPr>
          <w:gridAfter w:val="2"/>
          <w:wAfter w:w="2164" w:type="dxa"/>
          <w:trHeight w:val="300"/>
        </w:trPr>
        <w:tc>
          <w:tcPr>
            <w:tcW w:w="470" w:type="dxa"/>
            <w:tcBorders>
              <w:top w:val="nil"/>
              <w:left w:val="nil"/>
              <w:bottom w:val="nil"/>
              <w:right w:val="single" w:sz="2" w:space="0" w:color="31313D"/>
            </w:tcBorders>
            <w:shd w:val="clear" w:color="auto" w:fill="auto"/>
            <w:noWrap/>
            <w:vAlign w:val="center"/>
            <w:hideMark/>
          </w:tcPr>
          <w:p w:rsidR="00E86ABB" w:rsidRPr="0094513F" w:rsidRDefault="00E86ABB" w:rsidP="00800D70">
            <w:pPr>
              <w:jc w:val="right"/>
              <w:rPr>
                <w:rFonts w:cs="Calibri"/>
                <w:szCs w:val="22"/>
              </w:rPr>
            </w:pPr>
            <w:r w:rsidRPr="0094513F">
              <w:rPr>
                <w:rFonts w:cs="Calibri"/>
                <w:szCs w:val="22"/>
              </w:rPr>
              <w:t>5</w:t>
            </w:r>
          </w:p>
        </w:tc>
        <w:tc>
          <w:tcPr>
            <w:tcW w:w="2195" w:type="dxa"/>
            <w:tcBorders>
              <w:top w:val="single" w:sz="2" w:space="0" w:color="31313D"/>
              <w:left w:val="single" w:sz="2" w:space="0" w:color="31313D"/>
              <w:bottom w:val="single" w:sz="2" w:space="0" w:color="31313D"/>
              <w:right w:val="single" w:sz="2" w:space="0" w:color="31313D"/>
            </w:tcBorders>
            <w:shd w:val="clear" w:color="auto" w:fill="auto"/>
            <w:noWrap/>
            <w:vAlign w:val="center"/>
            <w:hideMark/>
          </w:tcPr>
          <w:p w:rsidR="00E86ABB" w:rsidRPr="0094513F" w:rsidRDefault="00E86ABB" w:rsidP="00800D70">
            <w:pPr>
              <w:rPr>
                <w:rFonts w:cs="Calibri"/>
                <w:szCs w:val="22"/>
              </w:rPr>
            </w:pPr>
            <w:r w:rsidRPr="0094513F">
              <w:rPr>
                <w:rFonts w:cs="Calibri"/>
                <w:szCs w:val="22"/>
              </w:rPr>
              <w:t>HETAS</w:t>
            </w:r>
          </w:p>
        </w:tc>
        <w:tc>
          <w:tcPr>
            <w:tcW w:w="1091" w:type="dxa"/>
            <w:tcBorders>
              <w:top w:val="single" w:sz="2" w:space="0" w:color="31313D"/>
              <w:left w:val="single" w:sz="2" w:space="0" w:color="31313D"/>
              <w:bottom w:val="single" w:sz="2" w:space="0" w:color="31313D"/>
              <w:right w:val="nil"/>
            </w:tcBorders>
            <w:shd w:val="clear" w:color="auto" w:fill="auto"/>
            <w:noWrap/>
            <w:vAlign w:val="center"/>
            <w:hideMark/>
          </w:tcPr>
          <w:p w:rsidR="00E86ABB" w:rsidRPr="0094513F" w:rsidRDefault="00E86ABB" w:rsidP="00800D70">
            <w:pPr>
              <w:rPr>
                <w:rFonts w:cs="Calibri"/>
                <w:szCs w:val="22"/>
              </w:rPr>
            </w:pPr>
            <w:r w:rsidRPr="0094513F">
              <w:rPr>
                <w:rFonts w:cs="Calibri"/>
                <w:szCs w:val="22"/>
              </w:rPr>
              <w:t>Bruce</w:t>
            </w:r>
          </w:p>
        </w:tc>
        <w:tc>
          <w:tcPr>
            <w:tcW w:w="1414" w:type="dxa"/>
            <w:tcBorders>
              <w:top w:val="single" w:sz="2" w:space="0" w:color="31313D"/>
              <w:left w:val="nil"/>
              <w:bottom w:val="single" w:sz="2" w:space="0" w:color="31313D"/>
              <w:right w:val="single" w:sz="2" w:space="0" w:color="31313D"/>
            </w:tcBorders>
            <w:shd w:val="clear" w:color="auto" w:fill="auto"/>
            <w:noWrap/>
            <w:vAlign w:val="center"/>
            <w:hideMark/>
          </w:tcPr>
          <w:p w:rsidR="00E86ABB" w:rsidRPr="0094513F" w:rsidRDefault="00E86ABB" w:rsidP="00800D70">
            <w:pPr>
              <w:rPr>
                <w:rFonts w:cs="Calibri"/>
                <w:szCs w:val="22"/>
              </w:rPr>
            </w:pPr>
            <w:r w:rsidRPr="0094513F">
              <w:rPr>
                <w:rFonts w:cs="Calibri"/>
                <w:szCs w:val="22"/>
              </w:rPr>
              <w:t>Allen</w:t>
            </w:r>
          </w:p>
        </w:tc>
        <w:tc>
          <w:tcPr>
            <w:tcW w:w="767" w:type="dxa"/>
            <w:tcBorders>
              <w:top w:val="nil"/>
              <w:left w:val="single" w:sz="2" w:space="0" w:color="31313D"/>
              <w:bottom w:val="nil"/>
              <w:right w:val="nil"/>
            </w:tcBorders>
          </w:tcPr>
          <w:p w:rsidR="00E86ABB" w:rsidRPr="0094513F" w:rsidRDefault="000A2A04" w:rsidP="00800D70">
            <w:pPr>
              <w:rPr>
                <w:rFonts w:cs="Calibri"/>
                <w:szCs w:val="22"/>
              </w:rPr>
            </w:pPr>
            <w:r w:rsidRPr="0094513F">
              <w:rPr>
                <w:rFonts w:cs="Calibri"/>
                <w:szCs w:val="22"/>
              </w:rPr>
              <w:t>BA</w:t>
            </w:r>
          </w:p>
        </w:tc>
        <w:tc>
          <w:tcPr>
            <w:tcW w:w="3450" w:type="dxa"/>
            <w:tcBorders>
              <w:top w:val="nil"/>
              <w:left w:val="nil"/>
              <w:bottom w:val="nil"/>
              <w:right w:val="nil"/>
            </w:tcBorders>
            <w:shd w:val="clear" w:color="auto" w:fill="auto"/>
            <w:noWrap/>
            <w:vAlign w:val="center"/>
            <w:hideMark/>
          </w:tcPr>
          <w:p w:rsidR="00E86ABB" w:rsidRPr="0094513F" w:rsidRDefault="00E86ABB" w:rsidP="00800D70">
            <w:pPr>
              <w:rPr>
                <w:rFonts w:cs="Calibri"/>
                <w:szCs w:val="22"/>
              </w:rPr>
            </w:pPr>
          </w:p>
        </w:tc>
      </w:tr>
      <w:tr w:rsidR="0094513F" w:rsidRPr="0094513F" w:rsidTr="0094513F">
        <w:trPr>
          <w:gridAfter w:val="2"/>
          <w:wAfter w:w="2164" w:type="dxa"/>
          <w:trHeight w:val="300"/>
        </w:trPr>
        <w:tc>
          <w:tcPr>
            <w:tcW w:w="470" w:type="dxa"/>
            <w:tcBorders>
              <w:top w:val="nil"/>
              <w:left w:val="nil"/>
              <w:bottom w:val="nil"/>
              <w:right w:val="single" w:sz="2" w:space="0" w:color="31313D"/>
            </w:tcBorders>
            <w:shd w:val="clear" w:color="auto" w:fill="auto"/>
            <w:noWrap/>
            <w:vAlign w:val="center"/>
          </w:tcPr>
          <w:p w:rsidR="00E86ABB" w:rsidRPr="0094513F" w:rsidRDefault="00E86ABB" w:rsidP="00800D70">
            <w:pPr>
              <w:jc w:val="right"/>
              <w:rPr>
                <w:rFonts w:cs="Calibri"/>
                <w:szCs w:val="22"/>
              </w:rPr>
            </w:pPr>
            <w:r w:rsidRPr="0094513F">
              <w:rPr>
                <w:rFonts w:cs="Calibri"/>
                <w:szCs w:val="22"/>
              </w:rPr>
              <w:t>6</w:t>
            </w:r>
          </w:p>
        </w:tc>
        <w:tc>
          <w:tcPr>
            <w:tcW w:w="2195" w:type="dxa"/>
            <w:tcBorders>
              <w:top w:val="single" w:sz="2" w:space="0" w:color="31313D"/>
              <w:left w:val="single" w:sz="2" w:space="0" w:color="31313D"/>
              <w:bottom w:val="single" w:sz="2" w:space="0" w:color="31313D"/>
              <w:right w:val="single" w:sz="2" w:space="0" w:color="31313D"/>
            </w:tcBorders>
            <w:shd w:val="clear" w:color="auto" w:fill="auto"/>
            <w:noWrap/>
            <w:vAlign w:val="center"/>
          </w:tcPr>
          <w:p w:rsidR="00E86ABB" w:rsidRPr="0094513F" w:rsidRDefault="00E86ABB" w:rsidP="00800D70">
            <w:pPr>
              <w:rPr>
                <w:rFonts w:cs="Calibri"/>
                <w:szCs w:val="22"/>
              </w:rPr>
            </w:pPr>
            <w:r w:rsidRPr="0094513F">
              <w:rPr>
                <w:rFonts w:cs="Calibri"/>
                <w:szCs w:val="22"/>
              </w:rPr>
              <w:t>HHIC</w:t>
            </w:r>
          </w:p>
        </w:tc>
        <w:tc>
          <w:tcPr>
            <w:tcW w:w="1091" w:type="dxa"/>
            <w:tcBorders>
              <w:top w:val="single" w:sz="2" w:space="0" w:color="31313D"/>
              <w:left w:val="single" w:sz="2" w:space="0" w:color="31313D"/>
              <w:bottom w:val="single" w:sz="2" w:space="0" w:color="31313D"/>
              <w:right w:val="nil"/>
            </w:tcBorders>
            <w:shd w:val="clear" w:color="auto" w:fill="auto"/>
            <w:noWrap/>
            <w:vAlign w:val="center"/>
          </w:tcPr>
          <w:p w:rsidR="00E86ABB" w:rsidRPr="0094513F" w:rsidRDefault="00E86ABB" w:rsidP="00800D70">
            <w:pPr>
              <w:rPr>
                <w:rFonts w:cs="Calibri"/>
                <w:szCs w:val="22"/>
              </w:rPr>
            </w:pPr>
            <w:r w:rsidRPr="0094513F">
              <w:rPr>
                <w:rFonts w:cs="Calibri"/>
                <w:szCs w:val="22"/>
              </w:rPr>
              <w:t>Chris</w:t>
            </w:r>
          </w:p>
        </w:tc>
        <w:tc>
          <w:tcPr>
            <w:tcW w:w="1414" w:type="dxa"/>
            <w:tcBorders>
              <w:top w:val="single" w:sz="2" w:space="0" w:color="31313D"/>
              <w:left w:val="nil"/>
              <w:bottom w:val="single" w:sz="2" w:space="0" w:color="31313D"/>
              <w:right w:val="single" w:sz="2" w:space="0" w:color="31313D"/>
            </w:tcBorders>
            <w:shd w:val="clear" w:color="auto" w:fill="auto"/>
            <w:noWrap/>
            <w:vAlign w:val="center"/>
          </w:tcPr>
          <w:p w:rsidR="00E86ABB" w:rsidRPr="0094513F" w:rsidRDefault="00E86ABB" w:rsidP="00800D70">
            <w:pPr>
              <w:rPr>
                <w:rFonts w:cs="Calibri"/>
                <w:szCs w:val="22"/>
              </w:rPr>
            </w:pPr>
            <w:r w:rsidRPr="0094513F">
              <w:rPr>
                <w:rFonts w:cs="Calibri"/>
                <w:szCs w:val="22"/>
              </w:rPr>
              <w:t>Yates</w:t>
            </w:r>
          </w:p>
        </w:tc>
        <w:tc>
          <w:tcPr>
            <w:tcW w:w="767" w:type="dxa"/>
            <w:tcBorders>
              <w:top w:val="nil"/>
              <w:left w:val="single" w:sz="2" w:space="0" w:color="31313D"/>
              <w:bottom w:val="nil"/>
              <w:right w:val="nil"/>
            </w:tcBorders>
          </w:tcPr>
          <w:p w:rsidR="00E86ABB" w:rsidRPr="0094513F" w:rsidRDefault="000A2A04" w:rsidP="002D1BE1">
            <w:pPr>
              <w:rPr>
                <w:rFonts w:cs="Calibri"/>
                <w:szCs w:val="22"/>
              </w:rPr>
            </w:pPr>
            <w:r w:rsidRPr="0094513F">
              <w:rPr>
                <w:rFonts w:cs="Calibri"/>
                <w:szCs w:val="22"/>
              </w:rPr>
              <w:t>CY</w:t>
            </w:r>
          </w:p>
        </w:tc>
        <w:tc>
          <w:tcPr>
            <w:tcW w:w="3450" w:type="dxa"/>
            <w:tcBorders>
              <w:top w:val="nil"/>
              <w:left w:val="nil"/>
              <w:bottom w:val="nil"/>
              <w:right w:val="nil"/>
            </w:tcBorders>
            <w:shd w:val="clear" w:color="auto" w:fill="auto"/>
            <w:noWrap/>
            <w:vAlign w:val="center"/>
          </w:tcPr>
          <w:p w:rsidR="00E86ABB" w:rsidRPr="0094513F" w:rsidRDefault="00E86ABB" w:rsidP="002D1BE1">
            <w:pPr>
              <w:rPr>
                <w:rFonts w:cs="Calibri"/>
                <w:szCs w:val="22"/>
              </w:rPr>
            </w:pPr>
          </w:p>
        </w:tc>
      </w:tr>
      <w:tr w:rsidR="0094513F" w:rsidRPr="0094513F" w:rsidTr="0094513F">
        <w:trPr>
          <w:gridAfter w:val="2"/>
          <w:wAfter w:w="2164" w:type="dxa"/>
          <w:trHeight w:val="300"/>
        </w:trPr>
        <w:tc>
          <w:tcPr>
            <w:tcW w:w="470" w:type="dxa"/>
            <w:tcBorders>
              <w:top w:val="nil"/>
              <w:left w:val="nil"/>
              <w:bottom w:val="nil"/>
              <w:right w:val="single" w:sz="2" w:space="0" w:color="31313D"/>
            </w:tcBorders>
            <w:shd w:val="clear" w:color="auto" w:fill="auto"/>
            <w:noWrap/>
            <w:vAlign w:val="center"/>
            <w:hideMark/>
          </w:tcPr>
          <w:p w:rsidR="00E86ABB" w:rsidRPr="0094513F" w:rsidRDefault="00E86ABB" w:rsidP="00800D70">
            <w:pPr>
              <w:jc w:val="right"/>
              <w:rPr>
                <w:rFonts w:cs="Calibri"/>
                <w:szCs w:val="22"/>
              </w:rPr>
            </w:pPr>
            <w:r w:rsidRPr="0094513F">
              <w:rPr>
                <w:rFonts w:cs="Calibri"/>
                <w:szCs w:val="22"/>
              </w:rPr>
              <w:t>7</w:t>
            </w:r>
          </w:p>
        </w:tc>
        <w:tc>
          <w:tcPr>
            <w:tcW w:w="2195" w:type="dxa"/>
            <w:tcBorders>
              <w:top w:val="single" w:sz="2" w:space="0" w:color="31313D"/>
              <w:left w:val="single" w:sz="2" w:space="0" w:color="31313D"/>
              <w:bottom w:val="single" w:sz="2" w:space="0" w:color="31313D"/>
              <w:right w:val="single" w:sz="2" w:space="0" w:color="31313D"/>
            </w:tcBorders>
            <w:shd w:val="clear" w:color="auto" w:fill="auto"/>
            <w:noWrap/>
            <w:vAlign w:val="center"/>
            <w:hideMark/>
          </w:tcPr>
          <w:p w:rsidR="00E86ABB" w:rsidRPr="0094513F" w:rsidRDefault="00E86ABB" w:rsidP="00800D70">
            <w:pPr>
              <w:rPr>
                <w:rFonts w:cs="Calibri"/>
                <w:szCs w:val="22"/>
              </w:rPr>
            </w:pPr>
            <w:r w:rsidRPr="0094513F">
              <w:rPr>
                <w:rFonts w:cs="Calibri"/>
                <w:szCs w:val="22"/>
              </w:rPr>
              <w:t>MCS</w:t>
            </w:r>
          </w:p>
        </w:tc>
        <w:tc>
          <w:tcPr>
            <w:tcW w:w="1091" w:type="dxa"/>
            <w:tcBorders>
              <w:top w:val="single" w:sz="2" w:space="0" w:color="31313D"/>
              <w:left w:val="single" w:sz="2" w:space="0" w:color="31313D"/>
              <w:bottom w:val="single" w:sz="2" w:space="0" w:color="31313D"/>
              <w:right w:val="nil"/>
            </w:tcBorders>
            <w:shd w:val="clear" w:color="auto" w:fill="auto"/>
            <w:noWrap/>
            <w:vAlign w:val="center"/>
            <w:hideMark/>
          </w:tcPr>
          <w:p w:rsidR="00E86ABB" w:rsidRPr="0094513F" w:rsidRDefault="00E86ABB" w:rsidP="00800D70">
            <w:pPr>
              <w:rPr>
                <w:rFonts w:cs="Calibri"/>
                <w:szCs w:val="22"/>
              </w:rPr>
            </w:pPr>
            <w:r w:rsidRPr="0094513F">
              <w:rPr>
                <w:rFonts w:cs="Calibri"/>
                <w:szCs w:val="22"/>
              </w:rPr>
              <w:t xml:space="preserve">Gideon </w:t>
            </w:r>
          </w:p>
        </w:tc>
        <w:tc>
          <w:tcPr>
            <w:tcW w:w="1414" w:type="dxa"/>
            <w:tcBorders>
              <w:top w:val="single" w:sz="2" w:space="0" w:color="31313D"/>
              <w:left w:val="nil"/>
              <w:bottom w:val="single" w:sz="2" w:space="0" w:color="31313D"/>
              <w:right w:val="single" w:sz="2" w:space="0" w:color="31313D"/>
            </w:tcBorders>
            <w:shd w:val="clear" w:color="auto" w:fill="auto"/>
            <w:noWrap/>
            <w:vAlign w:val="center"/>
            <w:hideMark/>
          </w:tcPr>
          <w:p w:rsidR="00E86ABB" w:rsidRPr="0094513F" w:rsidRDefault="00E86ABB" w:rsidP="00800D70">
            <w:pPr>
              <w:rPr>
                <w:rFonts w:cs="Calibri"/>
                <w:szCs w:val="22"/>
              </w:rPr>
            </w:pPr>
            <w:r w:rsidRPr="0094513F">
              <w:rPr>
                <w:rFonts w:cs="Calibri"/>
                <w:szCs w:val="22"/>
              </w:rPr>
              <w:t xml:space="preserve">Richards </w:t>
            </w:r>
          </w:p>
        </w:tc>
        <w:tc>
          <w:tcPr>
            <w:tcW w:w="767" w:type="dxa"/>
            <w:tcBorders>
              <w:top w:val="nil"/>
              <w:left w:val="single" w:sz="2" w:space="0" w:color="31313D"/>
              <w:bottom w:val="nil"/>
              <w:right w:val="nil"/>
            </w:tcBorders>
          </w:tcPr>
          <w:p w:rsidR="00E86ABB" w:rsidRPr="0094513F" w:rsidRDefault="000A2A04" w:rsidP="00800D70">
            <w:pPr>
              <w:rPr>
                <w:rFonts w:cs="Calibri"/>
                <w:szCs w:val="22"/>
              </w:rPr>
            </w:pPr>
            <w:r w:rsidRPr="0094513F">
              <w:rPr>
                <w:rFonts w:cs="Calibri"/>
                <w:szCs w:val="22"/>
              </w:rPr>
              <w:t>GR</w:t>
            </w:r>
          </w:p>
        </w:tc>
        <w:tc>
          <w:tcPr>
            <w:tcW w:w="3450" w:type="dxa"/>
            <w:tcBorders>
              <w:top w:val="nil"/>
              <w:left w:val="nil"/>
              <w:bottom w:val="nil"/>
              <w:right w:val="nil"/>
            </w:tcBorders>
            <w:shd w:val="clear" w:color="auto" w:fill="auto"/>
            <w:noWrap/>
            <w:vAlign w:val="center"/>
            <w:hideMark/>
          </w:tcPr>
          <w:p w:rsidR="00E86ABB" w:rsidRPr="0094513F" w:rsidRDefault="00E86ABB" w:rsidP="00800D70">
            <w:pPr>
              <w:rPr>
                <w:rFonts w:cs="Calibri"/>
                <w:szCs w:val="22"/>
              </w:rPr>
            </w:pPr>
          </w:p>
        </w:tc>
      </w:tr>
      <w:tr w:rsidR="0094513F" w:rsidRPr="0094513F" w:rsidTr="0094513F">
        <w:trPr>
          <w:gridAfter w:val="2"/>
          <w:wAfter w:w="2164" w:type="dxa"/>
          <w:trHeight w:val="300"/>
        </w:trPr>
        <w:tc>
          <w:tcPr>
            <w:tcW w:w="470" w:type="dxa"/>
            <w:tcBorders>
              <w:top w:val="nil"/>
              <w:left w:val="nil"/>
              <w:bottom w:val="nil"/>
              <w:right w:val="single" w:sz="2" w:space="0" w:color="31313D"/>
            </w:tcBorders>
            <w:shd w:val="clear" w:color="auto" w:fill="auto"/>
            <w:noWrap/>
            <w:vAlign w:val="center"/>
          </w:tcPr>
          <w:p w:rsidR="00E86ABB" w:rsidRPr="0094513F" w:rsidRDefault="00E86ABB" w:rsidP="00800D70">
            <w:pPr>
              <w:jc w:val="right"/>
              <w:rPr>
                <w:rFonts w:cs="Calibri"/>
                <w:szCs w:val="22"/>
              </w:rPr>
            </w:pPr>
            <w:r w:rsidRPr="0094513F">
              <w:rPr>
                <w:rFonts w:cs="Calibri"/>
                <w:szCs w:val="22"/>
              </w:rPr>
              <w:t>8</w:t>
            </w:r>
          </w:p>
        </w:tc>
        <w:tc>
          <w:tcPr>
            <w:tcW w:w="2195" w:type="dxa"/>
            <w:tcBorders>
              <w:top w:val="single" w:sz="2" w:space="0" w:color="31313D"/>
              <w:left w:val="single" w:sz="2" w:space="0" w:color="31313D"/>
              <w:bottom w:val="single" w:sz="2" w:space="0" w:color="31313D"/>
              <w:right w:val="single" w:sz="2" w:space="0" w:color="31313D"/>
            </w:tcBorders>
            <w:shd w:val="clear" w:color="auto" w:fill="auto"/>
            <w:noWrap/>
            <w:vAlign w:val="center"/>
          </w:tcPr>
          <w:p w:rsidR="00E86ABB" w:rsidRPr="0094513F" w:rsidRDefault="00E86ABB" w:rsidP="00800D70">
            <w:pPr>
              <w:rPr>
                <w:rFonts w:cs="Calibri"/>
                <w:szCs w:val="22"/>
              </w:rPr>
            </w:pPr>
            <w:r w:rsidRPr="0094513F">
              <w:rPr>
                <w:rFonts w:cs="Calibri"/>
                <w:szCs w:val="22"/>
              </w:rPr>
              <w:t>REA</w:t>
            </w:r>
          </w:p>
        </w:tc>
        <w:tc>
          <w:tcPr>
            <w:tcW w:w="1091" w:type="dxa"/>
            <w:tcBorders>
              <w:top w:val="single" w:sz="2" w:space="0" w:color="31313D"/>
              <w:left w:val="single" w:sz="2" w:space="0" w:color="31313D"/>
              <w:bottom w:val="single" w:sz="2" w:space="0" w:color="31313D"/>
              <w:right w:val="nil"/>
            </w:tcBorders>
            <w:shd w:val="clear" w:color="auto" w:fill="auto"/>
            <w:noWrap/>
            <w:vAlign w:val="center"/>
          </w:tcPr>
          <w:p w:rsidR="00E86ABB" w:rsidRPr="0094513F" w:rsidRDefault="00E86ABB" w:rsidP="00800D70">
            <w:pPr>
              <w:rPr>
                <w:rFonts w:cs="Calibri"/>
                <w:szCs w:val="22"/>
              </w:rPr>
            </w:pPr>
            <w:r w:rsidRPr="0094513F">
              <w:rPr>
                <w:rFonts w:cs="Calibri"/>
                <w:szCs w:val="22"/>
              </w:rPr>
              <w:t>Mike</w:t>
            </w:r>
          </w:p>
        </w:tc>
        <w:tc>
          <w:tcPr>
            <w:tcW w:w="1414" w:type="dxa"/>
            <w:tcBorders>
              <w:top w:val="single" w:sz="2" w:space="0" w:color="31313D"/>
              <w:left w:val="nil"/>
              <w:bottom w:val="single" w:sz="2" w:space="0" w:color="31313D"/>
              <w:right w:val="single" w:sz="2" w:space="0" w:color="31313D"/>
            </w:tcBorders>
            <w:shd w:val="clear" w:color="auto" w:fill="auto"/>
            <w:noWrap/>
            <w:vAlign w:val="center"/>
          </w:tcPr>
          <w:p w:rsidR="00E86ABB" w:rsidRPr="0094513F" w:rsidRDefault="00E86ABB" w:rsidP="00800D70">
            <w:pPr>
              <w:rPr>
                <w:rFonts w:cs="Calibri"/>
                <w:szCs w:val="22"/>
              </w:rPr>
            </w:pPr>
            <w:proofErr w:type="spellStart"/>
            <w:r w:rsidRPr="0094513F">
              <w:rPr>
                <w:rFonts w:cs="Calibri"/>
                <w:szCs w:val="22"/>
              </w:rPr>
              <w:t>Landy</w:t>
            </w:r>
            <w:proofErr w:type="spellEnd"/>
          </w:p>
        </w:tc>
        <w:tc>
          <w:tcPr>
            <w:tcW w:w="767" w:type="dxa"/>
            <w:tcBorders>
              <w:top w:val="nil"/>
              <w:left w:val="single" w:sz="2" w:space="0" w:color="31313D"/>
              <w:bottom w:val="nil"/>
              <w:right w:val="nil"/>
            </w:tcBorders>
          </w:tcPr>
          <w:p w:rsidR="00E86ABB" w:rsidRPr="0094513F" w:rsidRDefault="000A2A04" w:rsidP="00800D70">
            <w:pPr>
              <w:rPr>
                <w:rFonts w:cs="Calibri"/>
                <w:szCs w:val="22"/>
              </w:rPr>
            </w:pPr>
            <w:r w:rsidRPr="0094513F">
              <w:rPr>
                <w:rFonts w:cs="Calibri"/>
                <w:szCs w:val="22"/>
              </w:rPr>
              <w:t>ML</w:t>
            </w:r>
          </w:p>
        </w:tc>
        <w:tc>
          <w:tcPr>
            <w:tcW w:w="3450" w:type="dxa"/>
            <w:tcBorders>
              <w:top w:val="nil"/>
              <w:left w:val="nil"/>
              <w:bottom w:val="nil"/>
              <w:right w:val="nil"/>
            </w:tcBorders>
            <w:shd w:val="clear" w:color="auto" w:fill="auto"/>
            <w:noWrap/>
            <w:vAlign w:val="center"/>
          </w:tcPr>
          <w:p w:rsidR="00E86ABB" w:rsidRPr="0094513F" w:rsidRDefault="00E86ABB" w:rsidP="00800D70">
            <w:pPr>
              <w:rPr>
                <w:rFonts w:cs="Calibri"/>
                <w:szCs w:val="22"/>
              </w:rPr>
            </w:pPr>
          </w:p>
        </w:tc>
      </w:tr>
      <w:tr w:rsidR="0094513F" w:rsidRPr="0094513F" w:rsidTr="0094513F">
        <w:trPr>
          <w:gridAfter w:val="2"/>
          <w:wAfter w:w="2164" w:type="dxa"/>
          <w:trHeight w:val="300"/>
        </w:trPr>
        <w:tc>
          <w:tcPr>
            <w:tcW w:w="470" w:type="dxa"/>
            <w:tcBorders>
              <w:top w:val="nil"/>
              <w:left w:val="nil"/>
              <w:bottom w:val="nil"/>
              <w:right w:val="single" w:sz="2" w:space="0" w:color="31313D"/>
            </w:tcBorders>
            <w:shd w:val="clear" w:color="auto" w:fill="auto"/>
            <w:noWrap/>
            <w:vAlign w:val="center"/>
          </w:tcPr>
          <w:p w:rsidR="00E86ABB" w:rsidRPr="0094513F" w:rsidRDefault="00E86ABB" w:rsidP="00800D70">
            <w:pPr>
              <w:jc w:val="right"/>
              <w:rPr>
                <w:rFonts w:cs="Calibri"/>
                <w:szCs w:val="22"/>
              </w:rPr>
            </w:pPr>
            <w:r w:rsidRPr="0094513F">
              <w:rPr>
                <w:rFonts w:cs="Calibri"/>
                <w:szCs w:val="22"/>
              </w:rPr>
              <w:t>9</w:t>
            </w:r>
          </w:p>
        </w:tc>
        <w:tc>
          <w:tcPr>
            <w:tcW w:w="2195" w:type="dxa"/>
            <w:tcBorders>
              <w:top w:val="single" w:sz="2" w:space="0" w:color="31313D"/>
              <w:left w:val="single" w:sz="2" w:space="0" w:color="31313D"/>
              <w:bottom w:val="single" w:sz="2" w:space="0" w:color="31313D"/>
              <w:right w:val="single" w:sz="2" w:space="0" w:color="31313D"/>
            </w:tcBorders>
            <w:shd w:val="clear" w:color="auto" w:fill="auto"/>
            <w:noWrap/>
            <w:vAlign w:val="center"/>
          </w:tcPr>
          <w:p w:rsidR="00E86ABB" w:rsidRPr="0094513F" w:rsidRDefault="00E86ABB" w:rsidP="00800D70">
            <w:pPr>
              <w:rPr>
                <w:rFonts w:cs="Calibri"/>
                <w:szCs w:val="22"/>
              </w:rPr>
            </w:pPr>
            <w:r w:rsidRPr="0094513F">
              <w:rPr>
                <w:rFonts w:cs="Calibri"/>
                <w:szCs w:val="22"/>
              </w:rPr>
              <w:t>Renewable UK</w:t>
            </w:r>
          </w:p>
        </w:tc>
        <w:tc>
          <w:tcPr>
            <w:tcW w:w="1091" w:type="dxa"/>
            <w:tcBorders>
              <w:top w:val="single" w:sz="2" w:space="0" w:color="31313D"/>
              <w:left w:val="single" w:sz="2" w:space="0" w:color="31313D"/>
              <w:bottom w:val="single" w:sz="2" w:space="0" w:color="31313D"/>
              <w:right w:val="nil"/>
            </w:tcBorders>
            <w:shd w:val="clear" w:color="auto" w:fill="auto"/>
            <w:noWrap/>
            <w:vAlign w:val="center"/>
          </w:tcPr>
          <w:p w:rsidR="00E86ABB" w:rsidRPr="0094513F" w:rsidRDefault="00E86ABB" w:rsidP="00800D70">
            <w:pPr>
              <w:rPr>
                <w:rFonts w:cs="Calibri"/>
                <w:szCs w:val="22"/>
              </w:rPr>
            </w:pPr>
            <w:r w:rsidRPr="0094513F">
              <w:rPr>
                <w:rFonts w:cs="Calibri"/>
                <w:szCs w:val="22"/>
              </w:rPr>
              <w:t>Alex</w:t>
            </w:r>
          </w:p>
        </w:tc>
        <w:tc>
          <w:tcPr>
            <w:tcW w:w="1414" w:type="dxa"/>
            <w:tcBorders>
              <w:top w:val="single" w:sz="2" w:space="0" w:color="31313D"/>
              <w:left w:val="nil"/>
              <w:bottom w:val="single" w:sz="2" w:space="0" w:color="31313D"/>
              <w:right w:val="single" w:sz="2" w:space="0" w:color="31313D"/>
            </w:tcBorders>
            <w:shd w:val="clear" w:color="auto" w:fill="auto"/>
            <w:noWrap/>
            <w:vAlign w:val="center"/>
          </w:tcPr>
          <w:p w:rsidR="00E86ABB" w:rsidRPr="0094513F" w:rsidRDefault="00E86ABB" w:rsidP="00800D70">
            <w:pPr>
              <w:rPr>
                <w:rFonts w:cs="Calibri"/>
                <w:szCs w:val="22"/>
              </w:rPr>
            </w:pPr>
            <w:r w:rsidRPr="0094513F">
              <w:rPr>
                <w:rFonts w:cs="Calibri"/>
                <w:szCs w:val="22"/>
              </w:rPr>
              <w:t>Campbell</w:t>
            </w:r>
          </w:p>
        </w:tc>
        <w:tc>
          <w:tcPr>
            <w:tcW w:w="767" w:type="dxa"/>
            <w:tcBorders>
              <w:top w:val="nil"/>
              <w:left w:val="single" w:sz="2" w:space="0" w:color="31313D"/>
              <w:bottom w:val="nil"/>
              <w:right w:val="nil"/>
            </w:tcBorders>
          </w:tcPr>
          <w:p w:rsidR="00E86ABB" w:rsidRPr="0094513F" w:rsidRDefault="000A2A04" w:rsidP="00800D70">
            <w:pPr>
              <w:rPr>
                <w:rFonts w:cs="Calibri"/>
                <w:szCs w:val="22"/>
              </w:rPr>
            </w:pPr>
            <w:r w:rsidRPr="0094513F">
              <w:rPr>
                <w:rFonts w:cs="Calibri"/>
                <w:szCs w:val="22"/>
              </w:rPr>
              <w:t>AC</w:t>
            </w:r>
          </w:p>
        </w:tc>
        <w:tc>
          <w:tcPr>
            <w:tcW w:w="3450" w:type="dxa"/>
            <w:tcBorders>
              <w:top w:val="nil"/>
              <w:left w:val="nil"/>
              <w:bottom w:val="nil"/>
              <w:right w:val="nil"/>
            </w:tcBorders>
            <w:shd w:val="clear" w:color="auto" w:fill="auto"/>
            <w:noWrap/>
            <w:vAlign w:val="center"/>
          </w:tcPr>
          <w:p w:rsidR="00E86ABB" w:rsidRPr="0094513F" w:rsidRDefault="00E86ABB" w:rsidP="00800D70">
            <w:pPr>
              <w:rPr>
                <w:rFonts w:cs="Calibri"/>
                <w:szCs w:val="22"/>
              </w:rPr>
            </w:pPr>
            <w:r w:rsidRPr="0094513F">
              <w:rPr>
                <w:rFonts w:cs="Calibri"/>
                <w:szCs w:val="22"/>
              </w:rPr>
              <w:t xml:space="preserve">deputising for </w:t>
            </w:r>
            <w:proofErr w:type="spellStart"/>
            <w:r w:rsidRPr="0094513F">
              <w:rPr>
                <w:rFonts w:cs="Calibri"/>
                <w:szCs w:val="22"/>
              </w:rPr>
              <w:t>Indre</w:t>
            </w:r>
            <w:proofErr w:type="spellEnd"/>
            <w:r w:rsidRPr="0094513F">
              <w:rPr>
                <w:rFonts w:cs="Calibri"/>
                <w:szCs w:val="22"/>
              </w:rPr>
              <w:t xml:space="preserve"> </w:t>
            </w:r>
            <w:proofErr w:type="spellStart"/>
            <w:r w:rsidRPr="0094513F">
              <w:rPr>
                <w:rFonts w:cs="Calibri"/>
                <w:szCs w:val="22"/>
              </w:rPr>
              <w:t>Vaizgelaite</w:t>
            </w:r>
            <w:proofErr w:type="spellEnd"/>
          </w:p>
        </w:tc>
      </w:tr>
      <w:tr w:rsidR="0094513F" w:rsidRPr="0094513F" w:rsidTr="0094513F">
        <w:trPr>
          <w:gridAfter w:val="2"/>
          <w:wAfter w:w="2164" w:type="dxa"/>
          <w:trHeight w:val="300"/>
        </w:trPr>
        <w:tc>
          <w:tcPr>
            <w:tcW w:w="470" w:type="dxa"/>
            <w:tcBorders>
              <w:top w:val="nil"/>
              <w:left w:val="nil"/>
              <w:bottom w:val="nil"/>
              <w:right w:val="single" w:sz="2" w:space="0" w:color="31313D"/>
            </w:tcBorders>
            <w:shd w:val="clear" w:color="auto" w:fill="auto"/>
            <w:noWrap/>
            <w:vAlign w:val="center"/>
            <w:hideMark/>
          </w:tcPr>
          <w:p w:rsidR="00E86ABB" w:rsidRPr="0094513F" w:rsidRDefault="00E86ABB" w:rsidP="00800D70">
            <w:pPr>
              <w:jc w:val="right"/>
              <w:rPr>
                <w:rFonts w:cs="Calibri"/>
                <w:szCs w:val="22"/>
              </w:rPr>
            </w:pPr>
            <w:r w:rsidRPr="0094513F">
              <w:rPr>
                <w:rFonts w:cs="Calibri"/>
                <w:szCs w:val="22"/>
              </w:rPr>
              <w:t>10</w:t>
            </w:r>
          </w:p>
        </w:tc>
        <w:tc>
          <w:tcPr>
            <w:tcW w:w="2195" w:type="dxa"/>
            <w:tcBorders>
              <w:top w:val="single" w:sz="2" w:space="0" w:color="31313D"/>
              <w:left w:val="single" w:sz="2" w:space="0" w:color="31313D"/>
              <w:bottom w:val="single" w:sz="2" w:space="0" w:color="31313D"/>
              <w:right w:val="single" w:sz="2" w:space="0" w:color="31313D"/>
            </w:tcBorders>
            <w:shd w:val="clear" w:color="auto" w:fill="auto"/>
            <w:noWrap/>
            <w:vAlign w:val="center"/>
            <w:hideMark/>
          </w:tcPr>
          <w:p w:rsidR="00E86ABB" w:rsidRPr="0094513F" w:rsidRDefault="00E86ABB" w:rsidP="00800D70">
            <w:pPr>
              <w:rPr>
                <w:rFonts w:cs="Calibri"/>
                <w:szCs w:val="22"/>
              </w:rPr>
            </w:pPr>
            <w:proofErr w:type="spellStart"/>
            <w:r w:rsidRPr="0094513F">
              <w:rPr>
                <w:rFonts w:cs="Calibri"/>
                <w:szCs w:val="22"/>
              </w:rPr>
              <w:t>SummitSkills</w:t>
            </w:r>
            <w:proofErr w:type="spellEnd"/>
          </w:p>
        </w:tc>
        <w:tc>
          <w:tcPr>
            <w:tcW w:w="1091" w:type="dxa"/>
            <w:tcBorders>
              <w:top w:val="single" w:sz="2" w:space="0" w:color="31313D"/>
              <w:left w:val="single" w:sz="2" w:space="0" w:color="31313D"/>
              <w:bottom w:val="single" w:sz="2" w:space="0" w:color="31313D"/>
              <w:right w:val="nil"/>
            </w:tcBorders>
            <w:shd w:val="clear" w:color="auto" w:fill="auto"/>
            <w:noWrap/>
            <w:vAlign w:val="center"/>
            <w:hideMark/>
          </w:tcPr>
          <w:p w:rsidR="00E86ABB" w:rsidRPr="0094513F" w:rsidRDefault="00E86ABB" w:rsidP="00800D70">
            <w:pPr>
              <w:rPr>
                <w:rFonts w:cs="Calibri"/>
                <w:szCs w:val="22"/>
              </w:rPr>
            </w:pPr>
            <w:r w:rsidRPr="0094513F">
              <w:rPr>
                <w:rFonts w:cs="Calibri"/>
                <w:szCs w:val="22"/>
              </w:rPr>
              <w:t>Nigel</w:t>
            </w:r>
          </w:p>
        </w:tc>
        <w:tc>
          <w:tcPr>
            <w:tcW w:w="1414" w:type="dxa"/>
            <w:tcBorders>
              <w:top w:val="single" w:sz="2" w:space="0" w:color="31313D"/>
              <w:left w:val="nil"/>
              <w:bottom w:val="single" w:sz="2" w:space="0" w:color="31313D"/>
              <w:right w:val="single" w:sz="2" w:space="0" w:color="31313D"/>
            </w:tcBorders>
            <w:shd w:val="clear" w:color="auto" w:fill="auto"/>
            <w:noWrap/>
            <w:vAlign w:val="center"/>
            <w:hideMark/>
          </w:tcPr>
          <w:p w:rsidR="00E86ABB" w:rsidRPr="0094513F" w:rsidRDefault="00E86ABB" w:rsidP="00800D70">
            <w:pPr>
              <w:rPr>
                <w:rFonts w:cs="Calibri"/>
                <w:szCs w:val="22"/>
              </w:rPr>
            </w:pPr>
            <w:proofErr w:type="spellStart"/>
            <w:r w:rsidRPr="0094513F">
              <w:rPr>
                <w:rFonts w:cs="Calibri"/>
                <w:szCs w:val="22"/>
              </w:rPr>
              <w:t>Hollett</w:t>
            </w:r>
            <w:proofErr w:type="spellEnd"/>
            <w:r w:rsidRPr="0094513F">
              <w:rPr>
                <w:rFonts w:cs="Calibri"/>
                <w:szCs w:val="22"/>
              </w:rPr>
              <w:t xml:space="preserve"> </w:t>
            </w:r>
          </w:p>
        </w:tc>
        <w:tc>
          <w:tcPr>
            <w:tcW w:w="767" w:type="dxa"/>
            <w:tcBorders>
              <w:top w:val="nil"/>
              <w:left w:val="single" w:sz="2" w:space="0" w:color="31313D"/>
              <w:bottom w:val="nil"/>
              <w:right w:val="nil"/>
            </w:tcBorders>
          </w:tcPr>
          <w:p w:rsidR="00E86ABB" w:rsidRPr="0094513F" w:rsidRDefault="000A2A04" w:rsidP="00800D70">
            <w:pPr>
              <w:rPr>
                <w:rFonts w:cs="Calibri"/>
                <w:szCs w:val="22"/>
              </w:rPr>
            </w:pPr>
            <w:r w:rsidRPr="0094513F">
              <w:rPr>
                <w:rFonts w:cs="Calibri"/>
                <w:szCs w:val="22"/>
              </w:rPr>
              <w:t>NH</w:t>
            </w:r>
          </w:p>
        </w:tc>
        <w:tc>
          <w:tcPr>
            <w:tcW w:w="3450" w:type="dxa"/>
            <w:tcBorders>
              <w:top w:val="nil"/>
              <w:left w:val="nil"/>
              <w:bottom w:val="nil"/>
              <w:right w:val="nil"/>
            </w:tcBorders>
            <w:shd w:val="clear" w:color="auto" w:fill="auto"/>
            <w:noWrap/>
            <w:vAlign w:val="center"/>
            <w:hideMark/>
          </w:tcPr>
          <w:p w:rsidR="00E86ABB" w:rsidRPr="0094513F" w:rsidRDefault="00E86ABB" w:rsidP="00800D70">
            <w:pPr>
              <w:rPr>
                <w:rFonts w:cs="Calibri"/>
                <w:szCs w:val="22"/>
              </w:rPr>
            </w:pPr>
          </w:p>
        </w:tc>
      </w:tr>
      <w:tr w:rsidR="0094513F" w:rsidRPr="0094513F" w:rsidTr="0094513F">
        <w:trPr>
          <w:gridAfter w:val="2"/>
          <w:wAfter w:w="2164" w:type="dxa"/>
          <w:trHeight w:val="300"/>
        </w:trPr>
        <w:tc>
          <w:tcPr>
            <w:tcW w:w="470" w:type="dxa"/>
            <w:tcBorders>
              <w:top w:val="nil"/>
              <w:left w:val="nil"/>
              <w:bottom w:val="nil"/>
              <w:right w:val="single" w:sz="2" w:space="0" w:color="31313D"/>
            </w:tcBorders>
            <w:shd w:val="clear" w:color="auto" w:fill="auto"/>
            <w:noWrap/>
            <w:vAlign w:val="center"/>
            <w:hideMark/>
          </w:tcPr>
          <w:p w:rsidR="00E86ABB" w:rsidRPr="0094513F" w:rsidRDefault="00E86ABB" w:rsidP="00800D70">
            <w:pPr>
              <w:jc w:val="right"/>
              <w:rPr>
                <w:rFonts w:cs="Calibri"/>
                <w:szCs w:val="22"/>
              </w:rPr>
            </w:pPr>
            <w:r w:rsidRPr="0094513F">
              <w:rPr>
                <w:rFonts w:cs="Calibri"/>
                <w:szCs w:val="22"/>
              </w:rPr>
              <w:t>11</w:t>
            </w:r>
          </w:p>
        </w:tc>
        <w:tc>
          <w:tcPr>
            <w:tcW w:w="2195" w:type="dxa"/>
            <w:tcBorders>
              <w:top w:val="single" w:sz="2" w:space="0" w:color="31313D"/>
              <w:left w:val="single" w:sz="2" w:space="0" w:color="31313D"/>
              <w:bottom w:val="single" w:sz="2" w:space="0" w:color="31313D"/>
              <w:right w:val="single" w:sz="2" w:space="0" w:color="31313D"/>
            </w:tcBorders>
            <w:shd w:val="clear" w:color="auto" w:fill="auto"/>
            <w:noWrap/>
            <w:vAlign w:val="center"/>
            <w:hideMark/>
          </w:tcPr>
          <w:p w:rsidR="00E86ABB" w:rsidRPr="0094513F" w:rsidRDefault="00E86ABB" w:rsidP="00800D70">
            <w:pPr>
              <w:rPr>
                <w:rFonts w:cs="Calibri"/>
                <w:szCs w:val="22"/>
              </w:rPr>
            </w:pPr>
            <w:r w:rsidRPr="0094513F">
              <w:rPr>
                <w:rFonts w:cs="Calibri"/>
                <w:szCs w:val="22"/>
              </w:rPr>
              <w:t>DECC</w:t>
            </w:r>
          </w:p>
        </w:tc>
        <w:tc>
          <w:tcPr>
            <w:tcW w:w="1091" w:type="dxa"/>
            <w:tcBorders>
              <w:top w:val="single" w:sz="2" w:space="0" w:color="31313D"/>
              <w:left w:val="single" w:sz="2" w:space="0" w:color="31313D"/>
              <w:bottom w:val="single" w:sz="2" w:space="0" w:color="31313D"/>
              <w:right w:val="nil"/>
            </w:tcBorders>
            <w:shd w:val="clear" w:color="auto" w:fill="auto"/>
            <w:noWrap/>
            <w:vAlign w:val="center"/>
            <w:hideMark/>
          </w:tcPr>
          <w:p w:rsidR="00E86ABB" w:rsidRPr="0094513F" w:rsidRDefault="00E86ABB" w:rsidP="00800D70">
            <w:pPr>
              <w:rPr>
                <w:rFonts w:cs="Calibri"/>
                <w:szCs w:val="22"/>
              </w:rPr>
            </w:pPr>
            <w:r w:rsidRPr="0094513F">
              <w:rPr>
                <w:rFonts w:cs="Calibri"/>
                <w:szCs w:val="22"/>
              </w:rPr>
              <w:t>Paul</w:t>
            </w:r>
          </w:p>
        </w:tc>
        <w:tc>
          <w:tcPr>
            <w:tcW w:w="1414" w:type="dxa"/>
            <w:tcBorders>
              <w:top w:val="single" w:sz="2" w:space="0" w:color="31313D"/>
              <w:left w:val="nil"/>
              <w:bottom w:val="single" w:sz="2" w:space="0" w:color="31313D"/>
              <w:right w:val="single" w:sz="2" w:space="0" w:color="31313D"/>
            </w:tcBorders>
            <w:shd w:val="clear" w:color="auto" w:fill="auto"/>
            <w:noWrap/>
            <w:vAlign w:val="center"/>
            <w:hideMark/>
          </w:tcPr>
          <w:p w:rsidR="00E86ABB" w:rsidRPr="0094513F" w:rsidRDefault="00E86ABB" w:rsidP="00800D70">
            <w:pPr>
              <w:rPr>
                <w:rFonts w:cs="Calibri"/>
                <w:szCs w:val="22"/>
              </w:rPr>
            </w:pPr>
            <w:r w:rsidRPr="0094513F">
              <w:rPr>
                <w:rFonts w:cs="Calibri"/>
                <w:szCs w:val="22"/>
              </w:rPr>
              <w:t>Rochester</w:t>
            </w:r>
          </w:p>
        </w:tc>
        <w:tc>
          <w:tcPr>
            <w:tcW w:w="767" w:type="dxa"/>
            <w:tcBorders>
              <w:top w:val="nil"/>
              <w:left w:val="single" w:sz="2" w:space="0" w:color="31313D"/>
              <w:bottom w:val="nil"/>
              <w:right w:val="nil"/>
            </w:tcBorders>
          </w:tcPr>
          <w:p w:rsidR="00E86ABB" w:rsidRPr="0094513F" w:rsidRDefault="000A2A04" w:rsidP="00800D70">
            <w:pPr>
              <w:rPr>
                <w:rFonts w:cs="Calibri"/>
                <w:szCs w:val="22"/>
              </w:rPr>
            </w:pPr>
            <w:r w:rsidRPr="0094513F">
              <w:rPr>
                <w:rFonts w:cs="Calibri"/>
                <w:szCs w:val="22"/>
              </w:rPr>
              <w:t>PR</w:t>
            </w:r>
          </w:p>
        </w:tc>
        <w:tc>
          <w:tcPr>
            <w:tcW w:w="3450" w:type="dxa"/>
            <w:tcBorders>
              <w:top w:val="nil"/>
              <w:left w:val="nil"/>
              <w:bottom w:val="nil"/>
              <w:right w:val="nil"/>
            </w:tcBorders>
            <w:shd w:val="clear" w:color="auto" w:fill="auto"/>
            <w:noWrap/>
            <w:vAlign w:val="center"/>
            <w:hideMark/>
          </w:tcPr>
          <w:p w:rsidR="00E86ABB" w:rsidRPr="0094513F" w:rsidRDefault="00E86ABB" w:rsidP="00800D70">
            <w:pPr>
              <w:rPr>
                <w:rFonts w:cs="Calibri"/>
                <w:szCs w:val="22"/>
              </w:rPr>
            </w:pPr>
          </w:p>
        </w:tc>
      </w:tr>
      <w:tr w:rsidR="0094513F" w:rsidRPr="0094513F" w:rsidTr="0094513F">
        <w:trPr>
          <w:gridAfter w:val="2"/>
          <w:wAfter w:w="2164" w:type="dxa"/>
          <w:trHeight w:val="300"/>
        </w:trPr>
        <w:tc>
          <w:tcPr>
            <w:tcW w:w="470" w:type="dxa"/>
            <w:tcBorders>
              <w:top w:val="nil"/>
              <w:left w:val="nil"/>
              <w:bottom w:val="nil"/>
              <w:right w:val="single" w:sz="2" w:space="0" w:color="31313D"/>
            </w:tcBorders>
            <w:shd w:val="clear" w:color="auto" w:fill="auto"/>
            <w:noWrap/>
            <w:vAlign w:val="center"/>
            <w:hideMark/>
          </w:tcPr>
          <w:p w:rsidR="00E86ABB" w:rsidRPr="0094513F" w:rsidRDefault="00E86ABB" w:rsidP="00800D70">
            <w:pPr>
              <w:jc w:val="right"/>
              <w:rPr>
                <w:rFonts w:cs="Calibri"/>
                <w:szCs w:val="22"/>
              </w:rPr>
            </w:pPr>
            <w:r w:rsidRPr="0094513F">
              <w:rPr>
                <w:rFonts w:cs="Calibri"/>
                <w:szCs w:val="22"/>
              </w:rPr>
              <w:t>12</w:t>
            </w:r>
          </w:p>
        </w:tc>
        <w:tc>
          <w:tcPr>
            <w:tcW w:w="2195" w:type="dxa"/>
            <w:tcBorders>
              <w:top w:val="single" w:sz="2" w:space="0" w:color="31313D"/>
              <w:left w:val="single" w:sz="2" w:space="0" w:color="31313D"/>
              <w:bottom w:val="single" w:sz="2" w:space="0" w:color="31313D"/>
              <w:right w:val="single" w:sz="2" w:space="0" w:color="31313D"/>
            </w:tcBorders>
            <w:shd w:val="clear" w:color="auto" w:fill="auto"/>
            <w:noWrap/>
            <w:vAlign w:val="center"/>
            <w:hideMark/>
          </w:tcPr>
          <w:p w:rsidR="00E86ABB" w:rsidRPr="0094513F" w:rsidRDefault="00E86ABB" w:rsidP="00800D70">
            <w:pPr>
              <w:rPr>
                <w:rFonts w:cs="Calibri"/>
                <w:szCs w:val="22"/>
              </w:rPr>
            </w:pPr>
            <w:r w:rsidRPr="0094513F">
              <w:rPr>
                <w:rFonts w:cs="Calibri"/>
                <w:szCs w:val="22"/>
              </w:rPr>
              <w:t>EEPH (chair)</w:t>
            </w:r>
          </w:p>
        </w:tc>
        <w:tc>
          <w:tcPr>
            <w:tcW w:w="1091" w:type="dxa"/>
            <w:tcBorders>
              <w:top w:val="single" w:sz="2" w:space="0" w:color="31313D"/>
              <w:left w:val="single" w:sz="2" w:space="0" w:color="31313D"/>
              <w:bottom w:val="single" w:sz="2" w:space="0" w:color="31313D"/>
              <w:right w:val="nil"/>
            </w:tcBorders>
            <w:shd w:val="clear" w:color="auto" w:fill="auto"/>
            <w:noWrap/>
            <w:vAlign w:val="center"/>
            <w:hideMark/>
          </w:tcPr>
          <w:p w:rsidR="00E86ABB" w:rsidRPr="0094513F" w:rsidRDefault="00E86ABB" w:rsidP="00800D70">
            <w:pPr>
              <w:rPr>
                <w:rFonts w:cs="Calibri"/>
                <w:szCs w:val="22"/>
              </w:rPr>
            </w:pPr>
            <w:r w:rsidRPr="0094513F">
              <w:rPr>
                <w:rFonts w:cs="Calibri"/>
                <w:szCs w:val="22"/>
              </w:rPr>
              <w:t>Mark</w:t>
            </w:r>
          </w:p>
        </w:tc>
        <w:tc>
          <w:tcPr>
            <w:tcW w:w="1414" w:type="dxa"/>
            <w:tcBorders>
              <w:top w:val="single" w:sz="2" w:space="0" w:color="31313D"/>
              <w:left w:val="nil"/>
              <w:bottom w:val="single" w:sz="2" w:space="0" w:color="31313D"/>
              <w:right w:val="single" w:sz="2" w:space="0" w:color="31313D"/>
            </w:tcBorders>
            <w:shd w:val="clear" w:color="auto" w:fill="auto"/>
            <w:noWrap/>
            <w:vAlign w:val="center"/>
            <w:hideMark/>
          </w:tcPr>
          <w:p w:rsidR="00E86ABB" w:rsidRPr="0094513F" w:rsidRDefault="00E86ABB" w:rsidP="00800D70">
            <w:pPr>
              <w:rPr>
                <w:rFonts w:cs="Calibri"/>
                <w:szCs w:val="22"/>
              </w:rPr>
            </w:pPr>
            <w:r w:rsidRPr="0094513F">
              <w:rPr>
                <w:rFonts w:cs="Calibri"/>
                <w:szCs w:val="22"/>
              </w:rPr>
              <w:t>Brown</w:t>
            </w:r>
          </w:p>
        </w:tc>
        <w:tc>
          <w:tcPr>
            <w:tcW w:w="767" w:type="dxa"/>
            <w:tcBorders>
              <w:top w:val="nil"/>
              <w:left w:val="single" w:sz="2" w:space="0" w:color="31313D"/>
              <w:bottom w:val="nil"/>
              <w:right w:val="nil"/>
            </w:tcBorders>
          </w:tcPr>
          <w:p w:rsidR="00E86ABB" w:rsidRPr="0094513F" w:rsidRDefault="00B7268F" w:rsidP="00800D70">
            <w:pPr>
              <w:rPr>
                <w:rFonts w:cs="Calibri"/>
                <w:szCs w:val="22"/>
              </w:rPr>
            </w:pPr>
            <w:r w:rsidRPr="0094513F">
              <w:rPr>
                <w:rFonts w:cs="Calibri"/>
                <w:szCs w:val="22"/>
              </w:rPr>
              <w:t>MB</w:t>
            </w:r>
          </w:p>
        </w:tc>
        <w:tc>
          <w:tcPr>
            <w:tcW w:w="3450" w:type="dxa"/>
            <w:tcBorders>
              <w:top w:val="nil"/>
              <w:left w:val="nil"/>
              <w:bottom w:val="nil"/>
              <w:right w:val="nil"/>
            </w:tcBorders>
            <w:shd w:val="clear" w:color="auto" w:fill="auto"/>
            <w:noWrap/>
            <w:vAlign w:val="center"/>
            <w:hideMark/>
          </w:tcPr>
          <w:p w:rsidR="00E86ABB" w:rsidRPr="0094513F" w:rsidRDefault="00E86ABB" w:rsidP="00800D70">
            <w:pPr>
              <w:rPr>
                <w:rFonts w:cs="Calibri"/>
                <w:szCs w:val="22"/>
              </w:rPr>
            </w:pPr>
          </w:p>
        </w:tc>
      </w:tr>
      <w:tr w:rsidR="0094513F" w:rsidRPr="0094513F" w:rsidTr="0094513F">
        <w:trPr>
          <w:gridAfter w:val="2"/>
          <w:wAfter w:w="2164" w:type="dxa"/>
          <w:trHeight w:val="300"/>
        </w:trPr>
        <w:tc>
          <w:tcPr>
            <w:tcW w:w="470" w:type="dxa"/>
            <w:tcBorders>
              <w:top w:val="nil"/>
              <w:left w:val="nil"/>
              <w:bottom w:val="nil"/>
              <w:right w:val="single" w:sz="2" w:space="0" w:color="31313D"/>
            </w:tcBorders>
            <w:shd w:val="clear" w:color="auto" w:fill="auto"/>
            <w:noWrap/>
            <w:vAlign w:val="center"/>
          </w:tcPr>
          <w:p w:rsidR="00E86ABB" w:rsidRPr="0094513F" w:rsidRDefault="00E86ABB" w:rsidP="00800D70">
            <w:pPr>
              <w:jc w:val="right"/>
              <w:rPr>
                <w:rFonts w:cs="Calibri"/>
                <w:szCs w:val="22"/>
              </w:rPr>
            </w:pPr>
            <w:r w:rsidRPr="0094513F">
              <w:rPr>
                <w:rFonts w:cs="Calibri"/>
                <w:szCs w:val="22"/>
              </w:rPr>
              <w:t>13</w:t>
            </w:r>
          </w:p>
        </w:tc>
        <w:tc>
          <w:tcPr>
            <w:tcW w:w="2195" w:type="dxa"/>
            <w:tcBorders>
              <w:top w:val="single" w:sz="2" w:space="0" w:color="31313D"/>
              <w:left w:val="single" w:sz="2" w:space="0" w:color="31313D"/>
              <w:bottom w:val="single" w:sz="2" w:space="0" w:color="31313D"/>
              <w:right w:val="single" w:sz="2" w:space="0" w:color="31313D"/>
            </w:tcBorders>
            <w:shd w:val="clear" w:color="auto" w:fill="auto"/>
            <w:noWrap/>
            <w:vAlign w:val="center"/>
          </w:tcPr>
          <w:p w:rsidR="00E86ABB" w:rsidRPr="0094513F" w:rsidRDefault="00E86ABB" w:rsidP="00800D70">
            <w:pPr>
              <w:rPr>
                <w:rFonts w:cs="Calibri"/>
                <w:szCs w:val="22"/>
              </w:rPr>
            </w:pPr>
            <w:r w:rsidRPr="0094513F">
              <w:rPr>
                <w:rFonts w:cs="Calibri"/>
                <w:szCs w:val="22"/>
              </w:rPr>
              <w:t>EEPH</w:t>
            </w:r>
          </w:p>
        </w:tc>
        <w:tc>
          <w:tcPr>
            <w:tcW w:w="1091" w:type="dxa"/>
            <w:tcBorders>
              <w:top w:val="single" w:sz="2" w:space="0" w:color="31313D"/>
              <w:left w:val="single" w:sz="2" w:space="0" w:color="31313D"/>
              <w:bottom w:val="single" w:sz="2" w:space="0" w:color="31313D"/>
              <w:right w:val="nil"/>
            </w:tcBorders>
            <w:shd w:val="clear" w:color="auto" w:fill="auto"/>
            <w:noWrap/>
            <w:vAlign w:val="center"/>
          </w:tcPr>
          <w:p w:rsidR="00E86ABB" w:rsidRPr="0094513F" w:rsidRDefault="00E86ABB" w:rsidP="00800D70">
            <w:pPr>
              <w:rPr>
                <w:rFonts w:cs="Calibri"/>
                <w:szCs w:val="22"/>
              </w:rPr>
            </w:pPr>
            <w:r w:rsidRPr="0094513F">
              <w:rPr>
                <w:rFonts w:cs="Calibri"/>
                <w:szCs w:val="22"/>
              </w:rPr>
              <w:t>Melonie</w:t>
            </w:r>
          </w:p>
        </w:tc>
        <w:tc>
          <w:tcPr>
            <w:tcW w:w="1414" w:type="dxa"/>
            <w:tcBorders>
              <w:top w:val="single" w:sz="2" w:space="0" w:color="31313D"/>
              <w:left w:val="nil"/>
              <w:bottom w:val="single" w:sz="2" w:space="0" w:color="31313D"/>
              <w:right w:val="single" w:sz="2" w:space="0" w:color="31313D"/>
            </w:tcBorders>
            <w:shd w:val="clear" w:color="auto" w:fill="auto"/>
            <w:noWrap/>
            <w:vAlign w:val="center"/>
          </w:tcPr>
          <w:p w:rsidR="00E86ABB" w:rsidRPr="0094513F" w:rsidRDefault="00E86ABB" w:rsidP="00800D70">
            <w:pPr>
              <w:rPr>
                <w:rFonts w:cs="Calibri"/>
                <w:szCs w:val="22"/>
              </w:rPr>
            </w:pPr>
            <w:r w:rsidRPr="0094513F">
              <w:rPr>
                <w:rFonts w:cs="Calibri"/>
                <w:szCs w:val="22"/>
              </w:rPr>
              <w:t>Hedley</w:t>
            </w:r>
          </w:p>
        </w:tc>
        <w:tc>
          <w:tcPr>
            <w:tcW w:w="767" w:type="dxa"/>
            <w:tcBorders>
              <w:top w:val="nil"/>
              <w:left w:val="single" w:sz="2" w:space="0" w:color="31313D"/>
              <w:bottom w:val="nil"/>
              <w:right w:val="nil"/>
            </w:tcBorders>
          </w:tcPr>
          <w:p w:rsidR="00E86ABB" w:rsidRPr="0094513F" w:rsidRDefault="00E86ABB" w:rsidP="00800D70">
            <w:pPr>
              <w:rPr>
                <w:rFonts w:cs="Calibri"/>
                <w:bCs/>
                <w:szCs w:val="22"/>
              </w:rPr>
            </w:pPr>
            <w:proofErr w:type="spellStart"/>
            <w:r w:rsidRPr="0094513F">
              <w:rPr>
                <w:rFonts w:cs="Calibri"/>
                <w:bCs/>
                <w:szCs w:val="22"/>
              </w:rPr>
              <w:t>MHed</w:t>
            </w:r>
            <w:proofErr w:type="spellEnd"/>
          </w:p>
        </w:tc>
        <w:tc>
          <w:tcPr>
            <w:tcW w:w="3450" w:type="dxa"/>
            <w:tcBorders>
              <w:top w:val="nil"/>
              <w:left w:val="nil"/>
              <w:bottom w:val="nil"/>
              <w:right w:val="nil"/>
            </w:tcBorders>
            <w:shd w:val="clear" w:color="auto" w:fill="auto"/>
            <w:noWrap/>
            <w:vAlign w:val="center"/>
          </w:tcPr>
          <w:p w:rsidR="00E86ABB" w:rsidRPr="0094513F" w:rsidRDefault="00E86ABB" w:rsidP="00800D70">
            <w:pPr>
              <w:rPr>
                <w:rFonts w:cs="Calibri"/>
                <w:b/>
                <w:bCs/>
                <w:szCs w:val="22"/>
              </w:rPr>
            </w:pPr>
          </w:p>
        </w:tc>
      </w:tr>
      <w:tr w:rsidR="0094513F" w:rsidRPr="0094513F" w:rsidTr="0094513F">
        <w:trPr>
          <w:gridAfter w:val="2"/>
          <w:wAfter w:w="2164" w:type="dxa"/>
          <w:trHeight w:val="300"/>
        </w:trPr>
        <w:tc>
          <w:tcPr>
            <w:tcW w:w="470" w:type="dxa"/>
            <w:tcBorders>
              <w:top w:val="nil"/>
              <w:left w:val="nil"/>
              <w:bottom w:val="nil"/>
              <w:right w:val="single" w:sz="2" w:space="0" w:color="31313D"/>
            </w:tcBorders>
            <w:shd w:val="clear" w:color="auto" w:fill="auto"/>
            <w:noWrap/>
            <w:vAlign w:val="center"/>
            <w:hideMark/>
          </w:tcPr>
          <w:p w:rsidR="00E86ABB" w:rsidRPr="0094513F" w:rsidRDefault="00E86ABB" w:rsidP="00800D70">
            <w:pPr>
              <w:jc w:val="right"/>
              <w:rPr>
                <w:rFonts w:cs="Calibri"/>
                <w:szCs w:val="22"/>
              </w:rPr>
            </w:pPr>
            <w:r w:rsidRPr="0094513F">
              <w:rPr>
                <w:rFonts w:cs="Calibri"/>
                <w:szCs w:val="22"/>
              </w:rPr>
              <w:t>14</w:t>
            </w:r>
          </w:p>
        </w:tc>
        <w:tc>
          <w:tcPr>
            <w:tcW w:w="2195" w:type="dxa"/>
            <w:tcBorders>
              <w:top w:val="single" w:sz="2" w:space="0" w:color="31313D"/>
              <w:left w:val="single" w:sz="2" w:space="0" w:color="31313D"/>
              <w:bottom w:val="single" w:sz="2" w:space="0" w:color="31313D"/>
              <w:right w:val="single" w:sz="2" w:space="0" w:color="31313D"/>
            </w:tcBorders>
            <w:shd w:val="clear" w:color="auto" w:fill="auto"/>
            <w:noWrap/>
            <w:vAlign w:val="center"/>
            <w:hideMark/>
          </w:tcPr>
          <w:p w:rsidR="00E86ABB" w:rsidRPr="0094513F" w:rsidRDefault="00E86ABB" w:rsidP="00800D70">
            <w:pPr>
              <w:rPr>
                <w:rFonts w:cs="Calibri"/>
                <w:szCs w:val="22"/>
              </w:rPr>
            </w:pPr>
            <w:r w:rsidRPr="0094513F">
              <w:rPr>
                <w:rFonts w:cs="Calibri"/>
                <w:szCs w:val="22"/>
              </w:rPr>
              <w:t>EEPH (notes)</w:t>
            </w:r>
          </w:p>
        </w:tc>
        <w:tc>
          <w:tcPr>
            <w:tcW w:w="1091" w:type="dxa"/>
            <w:tcBorders>
              <w:top w:val="single" w:sz="2" w:space="0" w:color="31313D"/>
              <w:left w:val="single" w:sz="2" w:space="0" w:color="31313D"/>
              <w:bottom w:val="single" w:sz="2" w:space="0" w:color="31313D"/>
              <w:right w:val="nil"/>
            </w:tcBorders>
            <w:shd w:val="clear" w:color="auto" w:fill="auto"/>
            <w:noWrap/>
            <w:vAlign w:val="center"/>
            <w:hideMark/>
          </w:tcPr>
          <w:p w:rsidR="00E86ABB" w:rsidRPr="0094513F" w:rsidRDefault="00E86ABB" w:rsidP="00800D70">
            <w:pPr>
              <w:rPr>
                <w:rFonts w:cs="Calibri"/>
                <w:szCs w:val="22"/>
              </w:rPr>
            </w:pPr>
            <w:r w:rsidRPr="0094513F">
              <w:rPr>
                <w:rFonts w:cs="Calibri"/>
                <w:szCs w:val="22"/>
              </w:rPr>
              <w:t>Mathias</w:t>
            </w:r>
          </w:p>
        </w:tc>
        <w:tc>
          <w:tcPr>
            <w:tcW w:w="1414" w:type="dxa"/>
            <w:tcBorders>
              <w:top w:val="single" w:sz="2" w:space="0" w:color="31313D"/>
              <w:left w:val="nil"/>
              <w:bottom w:val="single" w:sz="2" w:space="0" w:color="31313D"/>
              <w:right w:val="single" w:sz="2" w:space="0" w:color="31313D"/>
            </w:tcBorders>
            <w:shd w:val="clear" w:color="auto" w:fill="auto"/>
            <w:noWrap/>
            <w:vAlign w:val="center"/>
            <w:hideMark/>
          </w:tcPr>
          <w:p w:rsidR="00E86ABB" w:rsidRPr="0094513F" w:rsidRDefault="00E86ABB" w:rsidP="00800D70">
            <w:pPr>
              <w:rPr>
                <w:rFonts w:cs="Calibri"/>
                <w:szCs w:val="22"/>
              </w:rPr>
            </w:pPr>
            <w:r w:rsidRPr="0094513F">
              <w:rPr>
                <w:rFonts w:cs="Calibri"/>
                <w:szCs w:val="22"/>
              </w:rPr>
              <w:t>Hessler</w:t>
            </w:r>
          </w:p>
        </w:tc>
        <w:tc>
          <w:tcPr>
            <w:tcW w:w="767" w:type="dxa"/>
            <w:tcBorders>
              <w:top w:val="nil"/>
              <w:left w:val="single" w:sz="2" w:space="0" w:color="31313D"/>
              <w:bottom w:val="nil"/>
              <w:right w:val="nil"/>
            </w:tcBorders>
          </w:tcPr>
          <w:p w:rsidR="00E86ABB" w:rsidRPr="0094513F" w:rsidRDefault="008E679F" w:rsidP="00800D70">
            <w:pPr>
              <w:rPr>
                <w:rFonts w:cs="Calibri"/>
                <w:bCs/>
                <w:szCs w:val="22"/>
              </w:rPr>
            </w:pPr>
            <w:proofErr w:type="spellStart"/>
            <w:r w:rsidRPr="0094513F">
              <w:rPr>
                <w:rFonts w:cs="Calibri"/>
                <w:bCs/>
                <w:szCs w:val="22"/>
              </w:rPr>
              <w:t>MHes</w:t>
            </w:r>
            <w:proofErr w:type="spellEnd"/>
          </w:p>
        </w:tc>
        <w:tc>
          <w:tcPr>
            <w:tcW w:w="3450" w:type="dxa"/>
            <w:tcBorders>
              <w:top w:val="nil"/>
              <w:left w:val="nil"/>
              <w:bottom w:val="nil"/>
              <w:right w:val="nil"/>
            </w:tcBorders>
            <w:shd w:val="clear" w:color="auto" w:fill="auto"/>
            <w:noWrap/>
            <w:vAlign w:val="center"/>
            <w:hideMark/>
          </w:tcPr>
          <w:p w:rsidR="00E86ABB" w:rsidRPr="0094513F" w:rsidRDefault="00E86ABB" w:rsidP="00800D70">
            <w:pPr>
              <w:rPr>
                <w:rFonts w:cs="Calibri"/>
                <w:bCs/>
                <w:szCs w:val="22"/>
              </w:rPr>
            </w:pPr>
            <w:r w:rsidRPr="0094513F">
              <w:rPr>
                <w:rFonts w:cs="Calibri"/>
                <w:b/>
                <w:bCs/>
                <w:szCs w:val="22"/>
              </w:rPr>
              <w:t> </w:t>
            </w:r>
          </w:p>
        </w:tc>
      </w:tr>
      <w:tr w:rsidR="00E86ABB" w:rsidRPr="0094513F" w:rsidTr="009B2D7E">
        <w:trPr>
          <w:gridAfter w:val="2"/>
          <w:wAfter w:w="2164" w:type="dxa"/>
          <w:trHeight w:val="420"/>
        </w:trPr>
        <w:tc>
          <w:tcPr>
            <w:tcW w:w="5170" w:type="dxa"/>
            <w:gridSpan w:val="4"/>
            <w:tcBorders>
              <w:top w:val="nil"/>
              <w:left w:val="nil"/>
              <w:bottom w:val="nil"/>
              <w:right w:val="nil"/>
            </w:tcBorders>
            <w:shd w:val="clear" w:color="auto" w:fill="auto"/>
            <w:noWrap/>
            <w:vAlign w:val="center"/>
            <w:hideMark/>
          </w:tcPr>
          <w:p w:rsidR="00E86ABB" w:rsidRPr="00800D70" w:rsidRDefault="00E86ABB" w:rsidP="005C799F">
            <w:pPr>
              <w:pStyle w:val="Heading4"/>
            </w:pPr>
            <w:proofErr w:type="gramStart"/>
            <w:r w:rsidRPr="00800D70">
              <w:t>apologies</w:t>
            </w:r>
            <w:proofErr w:type="gramEnd"/>
          </w:p>
        </w:tc>
        <w:tc>
          <w:tcPr>
            <w:tcW w:w="767" w:type="dxa"/>
            <w:tcBorders>
              <w:top w:val="nil"/>
              <w:left w:val="nil"/>
              <w:bottom w:val="nil"/>
              <w:right w:val="nil"/>
            </w:tcBorders>
          </w:tcPr>
          <w:p w:rsidR="00E86ABB" w:rsidRPr="00800D70" w:rsidRDefault="00E86ABB" w:rsidP="00800D70">
            <w:pPr>
              <w:rPr>
                <w:rFonts w:ascii="Arial" w:hAnsi="Arial" w:cs="Arial"/>
                <w:sz w:val="20"/>
                <w:szCs w:val="20"/>
              </w:rPr>
            </w:pPr>
          </w:p>
        </w:tc>
        <w:tc>
          <w:tcPr>
            <w:tcW w:w="3450" w:type="dxa"/>
            <w:tcBorders>
              <w:top w:val="nil"/>
              <w:left w:val="nil"/>
              <w:bottom w:val="nil"/>
              <w:right w:val="nil"/>
            </w:tcBorders>
            <w:shd w:val="clear" w:color="auto" w:fill="auto"/>
            <w:noWrap/>
            <w:vAlign w:val="center"/>
            <w:hideMark/>
          </w:tcPr>
          <w:p w:rsidR="00E86ABB" w:rsidRPr="00800D70" w:rsidRDefault="00E86ABB" w:rsidP="00800D70">
            <w:pPr>
              <w:rPr>
                <w:rFonts w:ascii="Arial" w:hAnsi="Arial" w:cs="Arial"/>
                <w:sz w:val="20"/>
                <w:szCs w:val="20"/>
              </w:rPr>
            </w:pPr>
          </w:p>
        </w:tc>
      </w:tr>
      <w:tr w:rsidR="0094513F" w:rsidRPr="0094513F" w:rsidTr="0094513F">
        <w:trPr>
          <w:trHeight w:val="300"/>
        </w:trPr>
        <w:tc>
          <w:tcPr>
            <w:tcW w:w="470" w:type="dxa"/>
            <w:tcBorders>
              <w:top w:val="nil"/>
              <w:left w:val="nil"/>
              <w:bottom w:val="nil"/>
              <w:right w:val="single" w:sz="2" w:space="0" w:color="31313D"/>
            </w:tcBorders>
            <w:shd w:val="clear" w:color="auto" w:fill="auto"/>
            <w:noWrap/>
            <w:vAlign w:val="center"/>
            <w:hideMark/>
          </w:tcPr>
          <w:p w:rsidR="00E86ABB" w:rsidRPr="0094513F" w:rsidRDefault="00E86ABB" w:rsidP="0024543E">
            <w:pPr>
              <w:jc w:val="right"/>
              <w:rPr>
                <w:rFonts w:cs="Calibri"/>
                <w:szCs w:val="22"/>
              </w:rPr>
            </w:pPr>
            <w:r w:rsidRPr="0094513F">
              <w:rPr>
                <w:rFonts w:cs="Calibri"/>
                <w:szCs w:val="22"/>
              </w:rPr>
              <w:t>1</w:t>
            </w:r>
          </w:p>
        </w:tc>
        <w:tc>
          <w:tcPr>
            <w:tcW w:w="2195" w:type="dxa"/>
            <w:tcBorders>
              <w:top w:val="single" w:sz="2" w:space="0" w:color="31313D"/>
              <w:left w:val="single" w:sz="2" w:space="0" w:color="31313D"/>
              <w:bottom w:val="single" w:sz="2" w:space="0" w:color="31313D"/>
              <w:right w:val="single" w:sz="2" w:space="0" w:color="31313D"/>
            </w:tcBorders>
            <w:shd w:val="clear" w:color="auto" w:fill="auto"/>
            <w:noWrap/>
            <w:vAlign w:val="center"/>
            <w:hideMark/>
          </w:tcPr>
          <w:p w:rsidR="00E86ABB" w:rsidRPr="0094513F" w:rsidRDefault="00E86ABB" w:rsidP="0024543E">
            <w:pPr>
              <w:rPr>
                <w:rFonts w:cs="Calibri"/>
                <w:szCs w:val="22"/>
              </w:rPr>
            </w:pPr>
            <w:r w:rsidRPr="0094513F">
              <w:rPr>
                <w:rFonts w:cs="Calibri"/>
                <w:szCs w:val="22"/>
              </w:rPr>
              <w:t>BEAMA</w:t>
            </w:r>
          </w:p>
        </w:tc>
        <w:tc>
          <w:tcPr>
            <w:tcW w:w="1091" w:type="dxa"/>
            <w:tcBorders>
              <w:top w:val="single" w:sz="2" w:space="0" w:color="31313D"/>
              <w:left w:val="single" w:sz="2" w:space="0" w:color="31313D"/>
              <w:bottom w:val="single" w:sz="2" w:space="0" w:color="31313D"/>
              <w:right w:val="nil"/>
            </w:tcBorders>
            <w:shd w:val="clear" w:color="auto" w:fill="auto"/>
            <w:noWrap/>
            <w:vAlign w:val="center"/>
            <w:hideMark/>
          </w:tcPr>
          <w:p w:rsidR="00E86ABB" w:rsidRPr="0094513F" w:rsidRDefault="00E86ABB" w:rsidP="0024543E">
            <w:pPr>
              <w:rPr>
                <w:rFonts w:cs="Calibri"/>
                <w:szCs w:val="22"/>
              </w:rPr>
            </w:pPr>
            <w:r w:rsidRPr="0094513F">
              <w:rPr>
                <w:rFonts w:cs="Calibri"/>
                <w:szCs w:val="22"/>
              </w:rPr>
              <w:t>Kelly</w:t>
            </w:r>
          </w:p>
        </w:tc>
        <w:tc>
          <w:tcPr>
            <w:tcW w:w="1414" w:type="dxa"/>
            <w:tcBorders>
              <w:top w:val="single" w:sz="2" w:space="0" w:color="31313D"/>
              <w:left w:val="nil"/>
              <w:bottom w:val="single" w:sz="2" w:space="0" w:color="31313D"/>
              <w:right w:val="single" w:sz="2" w:space="0" w:color="31313D"/>
            </w:tcBorders>
            <w:shd w:val="clear" w:color="auto" w:fill="auto"/>
            <w:noWrap/>
            <w:vAlign w:val="center"/>
            <w:hideMark/>
          </w:tcPr>
          <w:p w:rsidR="00E86ABB" w:rsidRPr="0094513F" w:rsidRDefault="00E86ABB" w:rsidP="0024543E">
            <w:pPr>
              <w:rPr>
                <w:rFonts w:cs="Calibri"/>
                <w:szCs w:val="22"/>
              </w:rPr>
            </w:pPr>
            <w:r w:rsidRPr="0094513F">
              <w:rPr>
                <w:rFonts w:cs="Calibri"/>
                <w:szCs w:val="22"/>
              </w:rPr>
              <w:t xml:space="preserve">Butler </w:t>
            </w:r>
          </w:p>
        </w:tc>
        <w:tc>
          <w:tcPr>
            <w:tcW w:w="767" w:type="dxa"/>
            <w:tcBorders>
              <w:top w:val="nil"/>
              <w:left w:val="single" w:sz="2" w:space="0" w:color="31313D"/>
              <w:bottom w:val="nil"/>
              <w:right w:val="nil"/>
            </w:tcBorders>
          </w:tcPr>
          <w:p w:rsidR="00E86ABB" w:rsidRPr="0094513F" w:rsidRDefault="00E86ABB" w:rsidP="0024543E">
            <w:pPr>
              <w:rPr>
                <w:rFonts w:cs="Calibri"/>
                <w:szCs w:val="22"/>
              </w:rPr>
            </w:pPr>
          </w:p>
        </w:tc>
        <w:tc>
          <w:tcPr>
            <w:tcW w:w="5614" w:type="dxa"/>
            <w:gridSpan w:val="3"/>
            <w:tcBorders>
              <w:top w:val="nil"/>
              <w:left w:val="nil"/>
              <w:bottom w:val="nil"/>
              <w:right w:val="nil"/>
            </w:tcBorders>
            <w:shd w:val="clear" w:color="auto" w:fill="auto"/>
            <w:noWrap/>
            <w:vAlign w:val="center"/>
            <w:hideMark/>
          </w:tcPr>
          <w:p w:rsidR="00E86ABB" w:rsidRPr="0094513F" w:rsidRDefault="00E86ABB" w:rsidP="0024543E">
            <w:pPr>
              <w:rPr>
                <w:rFonts w:cs="Calibri"/>
                <w:szCs w:val="22"/>
              </w:rPr>
            </w:pPr>
          </w:p>
        </w:tc>
      </w:tr>
      <w:tr w:rsidR="0094513F" w:rsidRPr="0094513F" w:rsidTr="0094513F">
        <w:trPr>
          <w:trHeight w:val="300"/>
        </w:trPr>
        <w:tc>
          <w:tcPr>
            <w:tcW w:w="470" w:type="dxa"/>
            <w:tcBorders>
              <w:top w:val="nil"/>
              <w:left w:val="nil"/>
              <w:bottom w:val="nil"/>
              <w:right w:val="single" w:sz="2" w:space="0" w:color="31313D"/>
            </w:tcBorders>
            <w:shd w:val="clear" w:color="auto" w:fill="auto"/>
            <w:noWrap/>
            <w:vAlign w:val="center"/>
            <w:hideMark/>
          </w:tcPr>
          <w:p w:rsidR="00E86ABB" w:rsidRPr="0094513F" w:rsidRDefault="00E86ABB" w:rsidP="0024543E">
            <w:pPr>
              <w:jc w:val="right"/>
              <w:rPr>
                <w:rFonts w:cs="Calibri"/>
                <w:szCs w:val="22"/>
              </w:rPr>
            </w:pPr>
            <w:r w:rsidRPr="0094513F">
              <w:rPr>
                <w:rFonts w:cs="Calibri"/>
                <w:szCs w:val="22"/>
              </w:rPr>
              <w:t>2</w:t>
            </w:r>
          </w:p>
        </w:tc>
        <w:tc>
          <w:tcPr>
            <w:tcW w:w="2195" w:type="dxa"/>
            <w:tcBorders>
              <w:top w:val="single" w:sz="2" w:space="0" w:color="31313D"/>
              <w:left w:val="single" w:sz="2" w:space="0" w:color="31313D"/>
              <w:bottom w:val="single" w:sz="2" w:space="0" w:color="31313D"/>
              <w:right w:val="single" w:sz="2" w:space="0" w:color="31313D"/>
            </w:tcBorders>
            <w:shd w:val="clear" w:color="auto" w:fill="auto"/>
            <w:noWrap/>
            <w:vAlign w:val="center"/>
            <w:hideMark/>
          </w:tcPr>
          <w:p w:rsidR="00E86ABB" w:rsidRPr="0094513F" w:rsidRDefault="00E86ABB" w:rsidP="0024543E">
            <w:pPr>
              <w:rPr>
                <w:rFonts w:cs="Calibri"/>
                <w:szCs w:val="22"/>
              </w:rPr>
            </w:pPr>
            <w:r w:rsidRPr="0094513F">
              <w:rPr>
                <w:rFonts w:cs="Calibri"/>
                <w:szCs w:val="22"/>
              </w:rPr>
              <w:t>BPVA</w:t>
            </w:r>
          </w:p>
        </w:tc>
        <w:tc>
          <w:tcPr>
            <w:tcW w:w="1091" w:type="dxa"/>
            <w:tcBorders>
              <w:top w:val="single" w:sz="2" w:space="0" w:color="31313D"/>
              <w:left w:val="single" w:sz="2" w:space="0" w:color="31313D"/>
              <w:bottom w:val="single" w:sz="2" w:space="0" w:color="31313D"/>
              <w:right w:val="nil"/>
            </w:tcBorders>
            <w:shd w:val="clear" w:color="auto" w:fill="auto"/>
            <w:noWrap/>
            <w:vAlign w:val="center"/>
            <w:hideMark/>
          </w:tcPr>
          <w:p w:rsidR="00E86ABB" w:rsidRPr="0094513F" w:rsidRDefault="00E86ABB" w:rsidP="0024543E">
            <w:pPr>
              <w:rPr>
                <w:rFonts w:cs="Calibri"/>
                <w:szCs w:val="22"/>
              </w:rPr>
            </w:pPr>
            <w:r w:rsidRPr="0094513F">
              <w:rPr>
                <w:rFonts w:cs="Calibri"/>
                <w:szCs w:val="22"/>
              </w:rPr>
              <w:t>Reza</w:t>
            </w:r>
          </w:p>
        </w:tc>
        <w:tc>
          <w:tcPr>
            <w:tcW w:w="1414" w:type="dxa"/>
            <w:tcBorders>
              <w:top w:val="single" w:sz="2" w:space="0" w:color="31313D"/>
              <w:left w:val="nil"/>
              <w:bottom w:val="single" w:sz="2" w:space="0" w:color="31313D"/>
              <w:right w:val="single" w:sz="2" w:space="0" w:color="31313D"/>
            </w:tcBorders>
            <w:shd w:val="clear" w:color="auto" w:fill="auto"/>
            <w:noWrap/>
            <w:vAlign w:val="center"/>
            <w:hideMark/>
          </w:tcPr>
          <w:p w:rsidR="00E86ABB" w:rsidRPr="0094513F" w:rsidRDefault="00E86ABB" w:rsidP="0024543E">
            <w:pPr>
              <w:rPr>
                <w:rFonts w:cs="Calibri"/>
                <w:szCs w:val="22"/>
              </w:rPr>
            </w:pPr>
            <w:proofErr w:type="spellStart"/>
            <w:r w:rsidRPr="0094513F">
              <w:rPr>
                <w:rFonts w:cs="Calibri"/>
                <w:szCs w:val="22"/>
              </w:rPr>
              <w:t>Shabayani</w:t>
            </w:r>
            <w:proofErr w:type="spellEnd"/>
          </w:p>
        </w:tc>
        <w:tc>
          <w:tcPr>
            <w:tcW w:w="767" w:type="dxa"/>
            <w:tcBorders>
              <w:top w:val="nil"/>
              <w:left w:val="single" w:sz="2" w:space="0" w:color="31313D"/>
              <w:bottom w:val="nil"/>
              <w:right w:val="nil"/>
            </w:tcBorders>
          </w:tcPr>
          <w:p w:rsidR="00E86ABB" w:rsidRPr="0094513F" w:rsidRDefault="00E86ABB" w:rsidP="0024543E">
            <w:pPr>
              <w:rPr>
                <w:rFonts w:cs="Calibri"/>
                <w:szCs w:val="22"/>
              </w:rPr>
            </w:pPr>
          </w:p>
        </w:tc>
        <w:tc>
          <w:tcPr>
            <w:tcW w:w="5614" w:type="dxa"/>
            <w:gridSpan w:val="3"/>
            <w:tcBorders>
              <w:top w:val="nil"/>
              <w:left w:val="nil"/>
              <w:bottom w:val="nil"/>
              <w:right w:val="nil"/>
            </w:tcBorders>
            <w:shd w:val="clear" w:color="auto" w:fill="auto"/>
            <w:noWrap/>
            <w:vAlign w:val="center"/>
            <w:hideMark/>
          </w:tcPr>
          <w:p w:rsidR="00E86ABB" w:rsidRPr="0094513F" w:rsidRDefault="00E86ABB" w:rsidP="0024543E">
            <w:pPr>
              <w:rPr>
                <w:rFonts w:cs="Calibri"/>
                <w:szCs w:val="22"/>
              </w:rPr>
            </w:pPr>
          </w:p>
        </w:tc>
      </w:tr>
      <w:tr w:rsidR="0094513F" w:rsidRPr="0094513F" w:rsidTr="0094513F">
        <w:trPr>
          <w:trHeight w:val="300"/>
        </w:trPr>
        <w:tc>
          <w:tcPr>
            <w:tcW w:w="470" w:type="dxa"/>
            <w:tcBorders>
              <w:top w:val="nil"/>
              <w:left w:val="nil"/>
              <w:bottom w:val="nil"/>
              <w:right w:val="single" w:sz="2" w:space="0" w:color="31313D"/>
            </w:tcBorders>
            <w:shd w:val="clear" w:color="auto" w:fill="auto"/>
            <w:noWrap/>
            <w:vAlign w:val="center"/>
            <w:hideMark/>
          </w:tcPr>
          <w:p w:rsidR="00E86ABB" w:rsidRPr="0094513F" w:rsidRDefault="00E86ABB" w:rsidP="0024543E">
            <w:pPr>
              <w:jc w:val="right"/>
              <w:rPr>
                <w:rFonts w:cs="Calibri"/>
                <w:szCs w:val="22"/>
              </w:rPr>
            </w:pPr>
            <w:r w:rsidRPr="0094513F">
              <w:rPr>
                <w:rFonts w:cs="Calibri"/>
                <w:szCs w:val="22"/>
              </w:rPr>
              <w:t>3</w:t>
            </w:r>
          </w:p>
        </w:tc>
        <w:tc>
          <w:tcPr>
            <w:tcW w:w="2195" w:type="dxa"/>
            <w:tcBorders>
              <w:top w:val="single" w:sz="2" w:space="0" w:color="31313D"/>
              <w:left w:val="single" w:sz="2" w:space="0" w:color="31313D"/>
              <w:bottom w:val="single" w:sz="2" w:space="0" w:color="31313D"/>
              <w:right w:val="single" w:sz="2" w:space="0" w:color="31313D"/>
            </w:tcBorders>
            <w:shd w:val="clear" w:color="auto" w:fill="auto"/>
            <w:noWrap/>
            <w:vAlign w:val="center"/>
            <w:hideMark/>
          </w:tcPr>
          <w:p w:rsidR="00E86ABB" w:rsidRPr="0094513F" w:rsidRDefault="00E86ABB" w:rsidP="0024543E">
            <w:pPr>
              <w:rPr>
                <w:rFonts w:cs="Calibri"/>
                <w:szCs w:val="22"/>
              </w:rPr>
            </w:pPr>
            <w:r w:rsidRPr="0094513F">
              <w:rPr>
                <w:rFonts w:cs="Calibri"/>
                <w:szCs w:val="22"/>
              </w:rPr>
              <w:t>CIPHE</w:t>
            </w:r>
          </w:p>
        </w:tc>
        <w:tc>
          <w:tcPr>
            <w:tcW w:w="1091" w:type="dxa"/>
            <w:tcBorders>
              <w:top w:val="single" w:sz="2" w:space="0" w:color="31313D"/>
              <w:left w:val="single" w:sz="2" w:space="0" w:color="31313D"/>
              <w:bottom w:val="single" w:sz="2" w:space="0" w:color="31313D"/>
              <w:right w:val="nil"/>
            </w:tcBorders>
            <w:shd w:val="clear" w:color="auto" w:fill="auto"/>
            <w:noWrap/>
            <w:vAlign w:val="center"/>
            <w:hideMark/>
          </w:tcPr>
          <w:p w:rsidR="00E86ABB" w:rsidRPr="0094513F" w:rsidRDefault="00E86ABB" w:rsidP="0024543E">
            <w:pPr>
              <w:rPr>
                <w:rFonts w:cs="Calibri"/>
                <w:szCs w:val="22"/>
              </w:rPr>
            </w:pPr>
            <w:r w:rsidRPr="0094513F">
              <w:rPr>
                <w:rFonts w:cs="Calibri"/>
                <w:szCs w:val="22"/>
              </w:rPr>
              <w:t>Kevin</w:t>
            </w:r>
          </w:p>
        </w:tc>
        <w:tc>
          <w:tcPr>
            <w:tcW w:w="1414" w:type="dxa"/>
            <w:tcBorders>
              <w:top w:val="single" w:sz="2" w:space="0" w:color="31313D"/>
              <w:left w:val="nil"/>
              <w:bottom w:val="single" w:sz="2" w:space="0" w:color="31313D"/>
              <w:right w:val="single" w:sz="2" w:space="0" w:color="31313D"/>
            </w:tcBorders>
            <w:shd w:val="clear" w:color="auto" w:fill="auto"/>
            <w:noWrap/>
            <w:vAlign w:val="center"/>
            <w:hideMark/>
          </w:tcPr>
          <w:p w:rsidR="00E86ABB" w:rsidRPr="0094513F" w:rsidRDefault="00E86ABB" w:rsidP="0024543E">
            <w:pPr>
              <w:rPr>
                <w:rFonts w:cs="Calibri"/>
                <w:szCs w:val="22"/>
              </w:rPr>
            </w:pPr>
            <w:r w:rsidRPr="0094513F">
              <w:rPr>
                <w:rFonts w:cs="Calibri"/>
                <w:szCs w:val="22"/>
              </w:rPr>
              <w:t>Wellman</w:t>
            </w:r>
          </w:p>
        </w:tc>
        <w:tc>
          <w:tcPr>
            <w:tcW w:w="767" w:type="dxa"/>
            <w:tcBorders>
              <w:top w:val="nil"/>
              <w:left w:val="single" w:sz="2" w:space="0" w:color="31313D"/>
              <w:bottom w:val="nil"/>
              <w:right w:val="nil"/>
            </w:tcBorders>
          </w:tcPr>
          <w:p w:rsidR="00E86ABB" w:rsidRPr="0094513F" w:rsidRDefault="00E86ABB" w:rsidP="0024543E">
            <w:pPr>
              <w:rPr>
                <w:rFonts w:cs="Calibri"/>
                <w:szCs w:val="22"/>
              </w:rPr>
            </w:pPr>
          </w:p>
        </w:tc>
        <w:tc>
          <w:tcPr>
            <w:tcW w:w="5614" w:type="dxa"/>
            <w:gridSpan w:val="3"/>
            <w:tcBorders>
              <w:top w:val="nil"/>
              <w:left w:val="nil"/>
              <w:bottom w:val="nil"/>
              <w:right w:val="nil"/>
            </w:tcBorders>
            <w:shd w:val="clear" w:color="auto" w:fill="auto"/>
            <w:noWrap/>
            <w:vAlign w:val="center"/>
            <w:hideMark/>
          </w:tcPr>
          <w:p w:rsidR="00E86ABB" w:rsidRPr="0094513F" w:rsidRDefault="00E86ABB" w:rsidP="0024543E">
            <w:pPr>
              <w:rPr>
                <w:rFonts w:cs="Calibri"/>
                <w:szCs w:val="22"/>
              </w:rPr>
            </w:pPr>
          </w:p>
        </w:tc>
      </w:tr>
      <w:tr w:rsidR="0094513F" w:rsidRPr="0094513F" w:rsidTr="0094513F">
        <w:trPr>
          <w:trHeight w:val="300"/>
        </w:trPr>
        <w:tc>
          <w:tcPr>
            <w:tcW w:w="470" w:type="dxa"/>
            <w:tcBorders>
              <w:top w:val="nil"/>
              <w:left w:val="nil"/>
              <w:bottom w:val="nil"/>
              <w:right w:val="single" w:sz="2" w:space="0" w:color="31313D"/>
            </w:tcBorders>
            <w:shd w:val="clear" w:color="auto" w:fill="auto"/>
            <w:noWrap/>
            <w:vAlign w:val="center"/>
            <w:hideMark/>
          </w:tcPr>
          <w:p w:rsidR="00E86ABB" w:rsidRPr="0094513F" w:rsidRDefault="00E86ABB" w:rsidP="0024543E">
            <w:pPr>
              <w:jc w:val="right"/>
              <w:rPr>
                <w:rFonts w:cs="Calibri"/>
                <w:szCs w:val="22"/>
              </w:rPr>
            </w:pPr>
            <w:r w:rsidRPr="0094513F">
              <w:rPr>
                <w:rFonts w:cs="Calibri"/>
                <w:szCs w:val="22"/>
              </w:rPr>
              <w:t>4</w:t>
            </w:r>
          </w:p>
        </w:tc>
        <w:tc>
          <w:tcPr>
            <w:tcW w:w="2195" w:type="dxa"/>
            <w:tcBorders>
              <w:top w:val="single" w:sz="2" w:space="0" w:color="31313D"/>
              <w:left w:val="single" w:sz="2" w:space="0" w:color="31313D"/>
              <w:bottom w:val="single" w:sz="2" w:space="0" w:color="31313D"/>
              <w:right w:val="single" w:sz="2" w:space="0" w:color="31313D"/>
            </w:tcBorders>
            <w:shd w:val="clear" w:color="auto" w:fill="auto"/>
            <w:noWrap/>
            <w:vAlign w:val="center"/>
            <w:hideMark/>
          </w:tcPr>
          <w:p w:rsidR="00E86ABB" w:rsidRPr="0094513F" w:rsidRDefault="00E86ABB" w:rsidP="0024543E">
            <w:pPr>
              <w:rPr>
                <w:rFonts w:cs="Calibri"/>
                <w:szCs w:val="22"/>
              </w:rPr>
            </w:pPr>
            <w:proofErr w:type="spellStart"/>
            <w:r w:rsidRPr="0094513F">
              <w:rPr>
                <w:rFonts w:cs="Calibri"/>
                <w:szCs w:val="22"/>
              </w:rPr>
              <w:t>Micropower</w:t>
            </w:r>
            <w:proofErr w:type="spellEnd"/>
            <w:r w:rsidRPr="0094513F">
              <w:rPr>
                <w:rFonts w:cs="Calibri"/>
                <w:szCs w:val="22"/>
              </w:rPr>
              <w:t xml:space="preserve"> Council</w:t>
            </w:r>
          </w:p>
        </w:tc>
        <w:tc>
          <w:tcPr>
            <w:tcW w:w="1091" w:type="dxa"/>
            <w:tcBorders>
              <w:top w:val="single" w:sz="2" w:space="0" w:color="31313D"/>
              <w:left w:val="single" w:sz="2" w:space="0" w:color="31313D"/>
              <w:bottom w:val="single" w:sz="2" w:space="0" w:color="31313D"/>
              <w:right w:val="nil"/>
            </w:tcBorders>
            <w:shd w:val="clear" w:color="auto" w:fill="auto"/>
            <w:noWrap/>
            <w:vAlign w:val="center"/>
            <w:hideMark/>
          </w:tcPr>
          <w:p w:rsidR="00E86ABB" w:rsidRPr="0094513F" w:rsidRDefault="00E86ABB" w:rsidP="0024543E">
            <w:pPr>
              <w:rPr>
                <w:rFonts w:cs="Calibri"/>
                <w:szCs w:val="22"/>
              </w:rPr>
            </w:pPr>
            <w:r w:rsidRPr="0094513F">
              <w:rPr>
                <w:rFonts w:cs="Calibri"/>
                <w:szCs w:val="22"/>
              </w:rPr>
              <w:t>Grace</w:t>
            </w:r>
          </w:p>
        </w:tc>
        <w:tc>
          <w:tcPr>
            <w:tcW w:w="1414" w:type="dxa"/>
            <w:tcBorders>
              <w:top w:val="single" w:sz="2" w:space="0" w:color="31313D"/>
              <w:left w:val="nil"/>
              <w:bottom w:val="single" w:sz="2" w:space="0" w:color="31313D"/>
              <w:right w:val="single" w:sz="2" w:space="0" w:color="31313D"/>
            </w:tcBorders>
            <w:shd w:val="clear" w:color="auto" w:fill="auto"/>
            <w:noWrap/>
            <w:vAlign w:val="center"/>
            <w:hideMark/>
          </w:tcPr>
          <w:p w:rsidR="00E86ABB" w:rsidRPr="0094513F" w:rsidRDefault="00E86ABB" w:rsidP="0024543E">
            <w:pPr>
              <w:rPr>
                <w:rFonts w:cs="Calibri"/>
                <w:szCs w:val="22"/>
              </w:rPr>
            </w:pPr>
            <w:r w:rsidRPr="0094513F">
              <w:rPr>
                <w:rFonts w:cs="Calibri"/>
                <w:szCs w:val="22"/>
              </w:rPr>
              <w:t>Bennett</w:t>
            </w:r>
          </w:p>
        </w:tc>
        <w:tc>
          <w:tcPr>
            <w:tcW w:w="767" w:type="dxa"/>
            <w:tcBorders>
              <w:top w:val="nil"/>
              <w:left w:val="single" w:sz="2" w:space="0" w:color="31313D"/>
              <w:bottom w:val="nil"/>
              <w:right w:val="nil"/>
            </w:tcBorders>
          </w:tcPr>
          <w:p w:rsidR="00E86ABB" w:rsidRPr="0094513F" w:rsidRDefault="00E86ABB" w:rsidP="0024543E">
            <w:pPr>
              <w:rPr>
                <w:rFonts w:cs="Calibri"/>
                <w:szCs w:val="22"/>
              </w:rPr>
            </w:pPr>
          </w:p>
        </w:tc>
        <w:tc>
          <w:tcPr>
            <w:tcW w:w="5614" w:type="dxa"/>
            <w:gridSpan w:val="3"/>
            <w:tcBorders>
              <w:top w:val="nil"/>
              <w:left w:val="nil"/>
              <w:bottom w:val="nil"/>
              <w:right w:val="nil"/>
            </w:tcBorders>
            <w:shd w:val="clear" w:color="auto" w:fill="auto"/>
            <w:noWrap/>
            <w:vAlign w:val="center"/>
            <w:hideMark/>
          </w:tcPr>
          <w:p w:rsidR="00E86ABB" w:rsidRPr="0094513F" w:rsidRDefault="00E86ABB" w:rsidP="0024543E">
            <w:pPr>
              <w:rPr>
                <w:rFonts w:cs="Calibri"/>
                <w:szCs w:val="22"/>
              </w:rPr>
            </w:pPr>
            <w:r w:rsidRPr="0094513F">
              <w:rPr>
                <w:rFonts w:cs="Calibri"/>
                <w:szCs w:val="22"/>
              </w:rPr>
              <w:t xml:space="preserve">Dave </w:t>
            </w:r>
            <w:proofErr w:type="spellStart"/>
            <w:r w:rsidRPr="0094513F">
              <w:rPr>
                <w:rFonts w:cs="Calibri"/>
                <w:szCs w:val="22"/>
              </w:rPr>
              <w:t>Sowden</w:t>
            </w:r>
            <w:proofErr w:type="spellEnd"/>
            <w:r w:rsidRPr="0094513F">
              <w:rPr>
                <w:rFonts w:cs="Calibri"/>
                <w:szCs w:val="22"/>
              </w:rPr>
              <w:t xml:space="preserve"> also not able to attend</w:t>
            </w:r>
          </w:p>
        </w:tc>
      </w:tr>
      <w:tr w:rsidR="0094513F" w:rsidRPr="0094513F" w:rsidTr="0094513F">
        <w:trPr>
          <w:trHeight w:val="300"/>
        </w:trPr>
        <w:tc>
          <w:tcPr>
            <w:tcW w:w="470" w:type="dxa"/>
            <w:tcBorders>
              <w:top w:val="nil"/>
              <w:left w:val="nil"/>
              <w:bottom w:val="nil"/>
              <w:right w:val="single" w:sz="2" w:space="0" w:color="31313D"/>
            </w:tcBorders>
            <w:shd w:val="clear" w:color="auto" w:fill="auto"/>
            <w:noWrap/>
            <w:vAlign w:val="center"/>
            <w:hideMark/>
          </w:tcPr>
          <w:p w:rsidR="00E86ABB" w:rsidRPr="0094513F" w:rsidRDefault="00E86ABB" w:rsidP="0024543E">
            <w:pPr>
              <w:jc w:val="right"/>
              <w:rPr>
                <w:rFonts w:cs="Calibri"/>
                <w:szCs w:val="22"/>
              </w:rPr>
            </w:pPr>
            <w:r w:rsidRPr="0094513F">
              <w:rPr>
                <w:rFonts w:cs="Calibri"/>
                <w:szCs w:val="22"/>
              </w:rPr>
              <w:t>5</w:t>
            </w:r>
          </w:p>
        </w:tc>
        <w:tc>
          <w:tcPr>
            <w:tcW w:w="2195" w:type="dxa"/>
            <w:tcBorders>
              <w:top w:val="single" w:sz="2" w:space="0" w:color="31313D"/>
              <w:left w:val="single" w:sz="2" w:space="0" w:color="31313D"/>
              <w:bottom w:val="single" w:sz="2" w:space="0" w:color="31313D"/>
              <w:right w:val="single" w:sz="2" w:space="0" w:color="31313D"/>
            </w:tcBorders>
            <w:shd w:val="clear" w:color="auto" w:fill="auto"/>
            <w:noWrap/>
            <w:vAlign w:val="center"/>
            <w:hideMark/>
          </w:tcPr>
          <w:p w:rsidR="00E86ABB" w:rsidRPr="0094513F" w:rsidRDefault="00E86ABB" w:rsidP="0024543E">
            <w:pPr>
              <w:rPr>
                <w:rFonts w:cs="Calibri"/>
                <w:szCs w:val="22"/>
              </w:rPr>
            </w:pPr>
            <w:r w:rsidRPr="0094513F">
              <w:rPr>
                <w:rFonts w:cs="Calibri"/>
                <w:szCs w:val="22"/>
              </w:rPr>
              <w:t>NHBC</w:t>
            </w:r>
          </w:p>
        </w:tc>
        <w:tc>
          <w:tcPr>
            <w:tcW w:w="1091" w:type="dxa"/>
            <w:tcBorders>
              <w:top w:val="single" w:sz="2" w:space="0" w:color="31313D"/>
              <w:left w:val="single" w:sz="2" w:space="0" w:color="31313D"/>
              <w:bottom w:val="single" w:sz="2" w:space="0" w:color="31313D"/>
              <w:right w:val="nil"/>
            </w:tcBorders>
            <w:shd w:val="clear" w:color="auto" w:fill="auto"/>
            <w:noWrap/>
            <w:vAlign w:val="center"/>
            <w:hideMark/>
          </w:tcPr>
          <w:p w:rsidR="00E86ABB" w:rsidRPr="0094513F" w:rsidRDefault="00E86ABB" w:rsidP="0024543E">
            <w:pPr>
              <w:rPr>
                <w:rFonts w:cs="Calibri"/>
                <w:szCs w:val="22"/>
              </w:rPr>
            </w:pPr>
            <w:r w:rsidRPr="0094513F">
              <w:rPr>
                <w:rFonts w:cs="Calibri"/>
                <w:szCs w:val="22"/>
              </w:rPr>
              <w:t>Neil</w:t>
            </w:r>
          </w:p>
        </w:tc>
        <w:tc>
          <w:tcPr>
            <w:tcW w:w="1414" w:type="dxa"/>
            <w:tcBorders>
              <w:top w:val="single" w:sz="2" w:space="0" w:color="31313D"/>
              <w:left w:val="nil"/>
              <w:bottom w:val="single" w:sz="2" w:space="0" w:color="31313D"/>
              <w:right w:val="single" w:sz="2" w:space="0" w:color="31313D"/>
            </w:tcBorders>
            <w:shd w:val="clear" w:color="auto" w:fill="auto"/>
            <w:noWrap/>
            <w:vAlign w:val="center"/>
            <w:hideMark/>
          </w:tcPr>
          <w:p w:rsidR="00E86ABB" w:rsidRPr="0094513F" w:rsidRDefault="00E86ABB" w:rsidP="0024543E">
            <w:pPr>
              <w:rPr>
                <w:rFonts w:cs="Calibri"/>
                <w:szCs w:val="22"/>
              </w:rPr>
            </w:pPr>
            <w:r w:rsidRPr="0094513F">
              <w:rPr>
                <w:rFonts w:cs="Calibri"/>
                <w:szCs w:val="22"/>
              </w:rPr>
              <w:t>Smith</w:t>
            </w:r>
          </w:p>
        </w:tc>
        <w:tc>
          <w:tcPr>
            <w:tcW w:w="767" w:type="dxa"/>
            <w:tcBorders>
              <w:top w:val="nil"/>
              <w:left w:val="single" w:sz="2" w:space="0" w:color="31313D"/>
              <w:bottom w:val="nil"/>
              <w:right w:val="nil"/>
            </w:tcBorders>
          </w:tcPr>
          <w:p w:rsidR="00E86ABB" w:rsidRPr="0094513F" w:rsidRDefault="00E86ABB" w:rsidP="0024543E">
            <w:pPr>
              <w:rPr>
                <w:rFonts w:cs="Calibri"/>
                <w:szCs w:val="22"/>
              </w:rPr>
            </w:pPr>
          </w:p>
        </w:tc>
        <w:tc>
          <w:tcPr>
            <w:tcW w:w="5614" w:type="dxa"/>
            <w:gridSpan w:val="3"/>
            <w:tcBorders>
              <w:top w:val="nil"/>
              <w:left w:val="nil"/>
              <w:bottom w:val="nil"/>
              <w:right w:val="nil"/>
            </w:tcBorders>
            <w:shd w:val="clear" w:color="auto" w:fill="auto"/>
            <w:noWrap/>
            <w:vAlign w:val="center"/>
            <w:hideMark/>
          </w:tcPr>
          <w:p w:rsidR="00E86ABB" w:rsidRPr="0094513F" w:rsidRDefault="00E86ABB" w:rsidP="0024543E">
            <w:pPr>
              <w:rPr>
                <w:rFonts w:cs="Calibri"/>
                <w:szCs w:val="22"/>
              </w:rPr>
            </w:pPr>
          </w:p>
        </w:tc>
      </w:tr>
      <w:tr w:rsidR="0094513F" w:rsidRPr="0094513F" w:rsidTr="0094513F">
        <w:trPr>
          <w:trHeight w:val="300"/>
        </w:trPr>
        <w:tc>
          <w:tcPr>
            <w:tcW w:w="470" w:type="dxa"/>
            <w:tcBorders>
              <w:top w:val="nil"/>
              <w:left w:val="nil"/>
              <w:bottom w:val="nil"/>
              <w:right w:val="single" w:sz="2" w:space="0" w:color="31313D"/>
            </w:tcBorders>
            <w:shd w:val="clear" w:color="auto" w:fill="auto"/>
            <w:noWrap/>
            <w:vAlign w:val="center"/>
            <w:hideMark/>
          </w:tcPr>
          <w:p w:rsidR="00E86ABB" w:rsidRPr="0094513F" w:rsidRDefault="00E86ABB" w:rsidP="0024543E">
            <w:pPr>
              <w:jc w:val="right"/>
              <w:rPr>
                <w:rFonts w:cs="Calibri"/>
                <w:szCs w:val="22"/>
              </w:rPr>
            </w:pPr>
            <w:r w:rsidRPr="0094513F">
              <w:rPr>
                <w:rFonts w:cs="Calibri"/>
                <w:szCs w:val="22"/>
              </w:rPr>
              <w:t>6</w:t>
            </w:r>
          </w:p>
        </w:tc>
        <w:tc>
          <w:tcPr>
            <w:tcW w:w="2195" w:type="dxa"/>
            <w:tcBorders>
              <w:top w:val="single" w:sz="2" w:space="0" w:color="31313D"/>
              <w:left w:val="single" w:sz="2" w:space="0" w:color="31313D"/>
              <w:bottom w:val="single" w:sz="2" w:space="0" w:color="31313D"/>
              <w:right w:val="single" w:sz="2" w:space="0" w:color="31313D"/>
            </w:tcBorders>
            <w:shd w:val="clear" w:color="auto" w:fill="auto"/>
            <w:noWrap/>
            <w:vAlign w:val="center"/>
            <w:hideMark/>
          </w:tcPr>
          <w:p w:rsidR="00E86ABB" w:rsidRPr="0094513F" w:rsidRDefault="00E86ABB" w:rsidP="0024543E">
            <w:pPr>
              <w:rPr>
                <w:rFonts w:cs="Calibri"/>
                <w:szCs w:val="22"/>
              </w:rPr>
            </w:pPr>
            <w:r w:rsidRPr="0094513F">
              <w:rPr>
                <w:rFonts w:cs="Calibri"/>
                <w:szCs w:val="22"/>
              </w:rPr>
              <w:t>REAL</w:t>
            </w:r>
          </w:p>
        </w:tc>
        <w:tc>
          <w:tcPr>
            <w:tcW w:w="1091" w:type="dxa"/>
            <w:tcBorders>
              <w:top w:val="single" w:sz="2" w:space="0" w:color="31313D"/>
              <w:left w:val="single" w:sz="2" w:space="0" w:color="31313D"/>
              <w:bottom w:val="single" w:sz="2" w:space="0" w:color="31313D"/>
              <w:right w:val="nil"/>
            </w:tcBorders>
            <w:shd w:val="clear" w:color="auto" w:fill="auto"/>
            <w:noWrap/>
            <w:vAlign w:val="center"/>
            <w:hideMark/>
          </w:tcPr>
          <w:p w:rsidR="00E86ABB" w:rsidRPr="0094513F" w:rsidRDefault="00E86ABB" w:rsidP="0024543E">
            <w:pPr>
              <w:rPr>
                <w:rFonts w:cs="Calibri"/>
                <w:szCs w:val="22"/>
              </w:rPr>
            </w:pPr>
            <w:r w:rsidRPr="0094513F">
              <w:rPr>
                <w:rFonts w:cs="Calibri"/>
                <w:szCs w:val="22"/>
              </w:rPr>
              <w:t>Virginia</w:t>
            </w:r>
          </w:p>
        </w:tc>
        <w:tc>
          <w:tcPr>
            <w:tcW w:w="1414" w:type="dxa"/>
            <w:tcBorders>
              <w:top w:val="single" w:sz="2" w:space="0" w:color="31313D"/>
              <w:left w:val="nil"/>
              <w:bottom w:val="single" w:sz="2" w:space="0" w:color="31313D"/>
              <w:right w:val="single" w:sz="2" w:space="0" w:color="31313D"/>
            </w:tcBorders>
            <w:shd w:val="clear" w:color="auto" w:fill="auto"/>
            <w:noWrap/>
            <w:vAlign w:val="center"/>
            <w:hideMark/>
          </w:tcPr>
          <w:p w:rsidR="00E86ABB" w:rsidRPr="0094513F" w:rsidRDefault="00E86ABB" w:rsidP="0024543E">
            <w:pPr>
              <w:rPr>
                <w:rFonts w:cs="Calibri"/>
                <w:szCs w:val="22"/>
              </w:rPr>
            </w:pPr>
            <w:r w:rsidRPr="0094513F">
              <w:rPr>
                <w:rFonts w:cs="Calibri"/>
                <w:szCs w:val="22"/>
              </w:rPr>
              <w:t>Graham</w:t>
            </w:r>
          </w:p>
        </w:tc>
        <w:tc>
          <w:tcPr>
            <w:tcW w:w="767" w:type="dxa"/>
            <w:tcBorders>
              <w:top w:val="nil"/>
              <w:left w:val="single" w:sz="2" w:space="0" w:color="31313D"/>
              <w:bottom w:val="nil"/>
              <w:right w:val="nil"/>
            </w:tcBorders>
          </w:tcPr>
          <w:p w:rsidR="00E86ABB" w:rsidRPr="0094513F" w:rsidRDefault="00E86ABB" w:rsidP="0024543E">
            <w:pPr>
              <w:rPr>
                <w:rFonts w:cs="Calibri"/>
                <w:szCs w:val="22"/>
              </w:rPr>
            </w:pPr>
          </w:p>
        </w:tc>
        <w:tc>
          <w:tcPr>
            <w:tcW w:w="5614" w:type="dxa"/>
            <w:gridSpan w:val="3"/>
            <w:tcBorders>
              <w:top w:val="nil"/>
              <w:left w:val="nil"/>
              <w:bottom w:val="nil"/>
              <w:right w:val="nil"/>
            </w:tcBorders>
            <w:shd w:val="clear" w:color="auto" w:fill="auto"/>
            <w:noWrap/>
            <w:vAlign w:val="center"/>
            <w:hideMark/>
          </w:tcPr>
          <w:p w:rsidR="00E86ABB" w:rsidRPr="0094513F" w:rsidRDefault="00E86ABB" w:rsidP="0024543E">
            <w:pPr>
              <w:rPr>
                <w:rFonts w:cs="Calibri"/>
                <w:szCs w:val="22"/>
              </w:rPr>
            </w:pPr>
          </w:p>
        </w:tc>
      </w:tr>
      <w:tr w:rsidR="0094513F" w:rsidRPr="0094513F" w:rsidTr="0094513F">
        <w:trPr>
          <w:trHeight w:val="300"/>
        </w:trPr>
        <w:tc>
          <w:tcPr>
            <w:tcW w:w="470" w:type="dxa"/>
            <w:tcBorders>
              <w:top w:val="nil"/>
              <w:left w:val="nil"/>
              <w:bottom w:val="nil"/>
              <w:right w:val="single" w:sz="2" w:space="0" w:color="31313D"/>
            </w:tcBorders>
            <w:shd w:val="clear" w:color="auto" w:fill="auto"/>
            <w:noWrap/>
            <w:vAlign w:val="center"/>
            <w:hideMark/>
          </w:tcPr>
          <w:p w:rsidR="00E86ABB" w:rsidRPr="0094513F" w:rsidRDefault="00E86ABB" w:rsidP="0024543E">
            <w:pPr>
              <w:jc w:val="right"/>
              <w:rPr>
                <w:rFonts w:cs="Calibri"/>
                <w:szCs w:val="22"/>
              </w:rPr>
            </w:pPr>
            <w:r w:rsidRPr="0094513F">
              <w:rPr>
                <w:rFonts w:cs="Calibri"/>
                <w:szCs w:val="22"/>
              </w:rPr>
              <w:t>7</w:t>
            </w:r>
          </w:p>
        </w:tc>
        <w:tc>
          <w:tcPr>
            <w:tcW w:w="2195" w:type="dxa"/>
            <w:tcBorders>
              <w:top w:val="single" w:sz="2" w:space="0" w:color="31313D"/>
              <w:left w:val="single" w:sz="2" w:space="0" w:color="31313D"/>
              <w:bottom w:val="single" w:sz="2" w:space="0" w:color="31313D"/>
              <w:right w:val="single" w:sz="2" w:space="0" w:color="31313D"/>
            </w:tcBorders>
            <w:shd w:val="clear" w:color="auto" w:fill="auto"/>
            <w:noWrap/>
            <w:vAlign w:val="center"/>
            <w:hideMark/>
          </w:tcPr>
          <w:p w:rsidR="00E86ABB" w:rsidRPr="0094513F" w:rsidRDefault="00E86ABB" w:rsidP="0024543E">
            <w:pPr>
              <w:rPr>
                <w:rFonts w:cs="Calibri"/>
                <w:szCs w:val="22"/>
              </w:rPr>
            </w:pPr>
            <w:r w:rsidRPr="0094513F">
              <w:rPr>
                <w:rFonts w:cs="Calibri"/>
                <w:szCs w:val="22"/>
              </w:rPr>
              <w:t xml:space="preserve">STA </w:t>
            </w:r>
          </w:p>
        </w:tc>
        <w:tc>
          <w:tcPr>
            <w:tcW w:w="1091" w:type="dxa"/>
            <w:tcBorders>
              <w:top w:val="single" w:sz="2" w:space="0" w:color="31313D"/>
              <w:left w:val="single" w:sz="2" w:space="0" w:color="31313D"/>
              <w:bottom w:val="single" w:sz="2" w:space="0" w:color="31313D"/>
              <w:right w:val="nil"/>
            </w:tcBorders>
            <w:shd w:val="clear" w:color="auto" w:fill="auto"/>
            <w:noWrap/>
            <w:vAlign w:val="center"/>
            <w:hideMark/>
          </w:tcPr>
          <w:p w:rsidR="00E86ABB" w:rsidRPr="0094513F" w:rsidRDefault="00E86ABB" w:rsidP="0024543E">
            <w:pPr>
              <w:rPr>
                <w:rFonts w:cs="Calibri"/>
                <w:szCs w:val="22"/>
              </w:rPr>
            </w:pPr>
            <w:r w:rsidRPr="0094513F">
              <w:rPr>
                <w:rFonts w:cs="Calibri"/>
                <w:szCs w:val="22"/>
              </w:rPr>
              <w:t>Howard</w:t>
            </w:r>
          </w:p>
        </w:tc>
        <w:tc>
          <w:tcPr>
            <w:tcW w:w="1414" w:type="dxa"/>
            <w:tcBorders>
              <w:top w:val="single" w:sz="2" w:space="0" w:color="31313D"/>
              <w:left w:val="nil"/>
              <w:bottom w:val="single" w:sz="2" w:space="0" w:color="31313D"/>
              <w:right w:val="single" w:sz="2" w:space="0" w:color="31313D"/>
            </w:tcBorders>
            <w:shd w:val="clear" w:color="auto" w:fill="auto"/>
            <w:noWrap/>
            <w:vAlign w:val="center"/>
            <w:hideMark/>
          </w:tcPr>
          <w:p w:rsidR="00E86ABB" w:rsidRPr="0094513F" w:rsidRDefault="00E86ABB" w:rsidP="0024543E">
            <w:pPr>
              <w:rPr>
                <w:rFonts w:cs="Calibri"/>
                <w:szCs w:val="22"/>
              </w:rPr>
            </w:pPr>
            <w:r w:rsidRPr="0094513F">
              <w:rPr>
                <w:rFonts w:cs="Calibri"/>
                <w:szCs w:val="22"/>
              </w:rPr>
              <w:t>Johns</w:t>
            </w:r>
          </w:p>
        </w:tc>
        <w:tc>
          <w:tcPr>
            <w:tcW w:w="767" w:type="dxa"/>
            <w:tcBorders>
              <w:top w:val="nil"/>
              <w:left w:val="single" w:sz="2" w:space="0" w:color="31313D"/>
              <w:bottom w:val="nil"/>
              <w:right w:val="nil"/>
            </w:tcBorders>
          </w:tcPr>
          <w:p w:rsidR="00E86ABB" w:rsidRPr="0094513F" w:rsidRDefault="00E86ABB" w:rsidP="0024543E">
            <w:pPr>
              <w:rPr>
                <w:rFonts w:cs="Calibri"/>
                <w:szCs w:val="22"/>
              </w:rPr>
            </w:pPr>
          </w:p>
        </w:tc>
        <w:tc>
          <w:tcPr>
            <w:tcW w:w="5614" w:type="dxa"/>
            <w:gridSpan w:val="3"/>
            <w:tcBorders>
              <w:top w:val="nil"/>
              <w:left w:val="nil"/>
              <w:bottom w:val="nil"/>
              <w:right w:val="nil"/>
            </w:tcBorders>
            <w:shd w:val="clear" w:color="auto" w:fill="auto"/>
            <w:noWrap/>
            <w:vAlign w:val="center"/>
            <w:hideMark/>
          </w:tcPr>
          <w:p w:rsidR="00E86ABB" w:rsidRPr="0094513F" w:rsidRDefault="00E86ABB" w:rsidP="0024543E">
            <w:pPr>
              <w:rPr>
                <w:rFonts w:cs="Calibri"/>
                <w:szCs w:val="22"/>
              </w:rPr>
            </w:pPr>
            <w:r w:rsidRPr="0094513F">
              <w:rPr>
                <w:rFonts w:cs="Calibri"/>
                <w:szCs w:val="22"/>
              </w:rPr>
              <w:t>Alan Aldridge also unable to attend</w:t>
            </w:r>
          </w:p>
        </w:tc>
      </w:tr>
      <w:tr w:rsidR="0094513F" w:rsidRPr="0094513F" w:rsidTr="0094513F">
        <w:trPr>
          <w:trHeight w:val="300"/>
        </w:trPr>
        <w:tc>
          <w:tcPr>
            <w:tcW w:w="470" w:type="dxa"/>
            <w:tcBorders>
              <w:top w:val="nil"/>
              <w:left w:val="nil"/>
              <w:bottom w:val="nil"/>
              <w:right w:val="single" w:sz="2" w:space="0" w:color="31313D"/>
            </w:tcBorders>
            <w:shd w:val="clear" w:color="auto" w:fill="auto"/>
            <w:noWrap/>
            <w:vAlign w:val="center"/>
            <w:hideMark/>
          </w:tcPr>
          <w:p w:rsidR="00E86ABB" w:rsidRPr="0094513F" w:rsidRDefault="00E86ABB" w:rsidP="0024543E">
            <w:pPr>
              <w:jc w:val="right"/>
              <w:rPr>
                <w:rFonts w:cs="Calibri"/>
                <w:szCs w:val="22"/>
              </w:rPr>
            </w:pPr>
            <w:r w:rsidRPr="0094513F">
              <w:rPr>
                <w:rFonts w:cs="Calibri"/>
                <w:szCs w:val="22"/>
              </w:rPr>
              <w:t>8</w:t>
            </w:r>
          </w:p>
        </w:tc>
        <w:tc>
          <w:tcPr>
            <w:tcW w:w="2195" w:type="dxa"/>
            <w:tcBorders>
              <w:top w:val="single" w:sz="2" w:space="0" w:color="31313D"/>
              <w:left w:val="single" w:sz="2" w:space="0" w:color="31313D"/>
              <w:bottom w:val="single" w:sz="2" w:space="0" w:color="31313D"/>
              <w:right w:val="single" w:sz="2" w:space="0" w:color="31313D"/>
            </w:tcBorders>
            <w:shd w:val="clear" w:color="auto" w:fill="auto"/>
            <w:noWrap/>
            <w:vAlign w:val="center"/>
            <w:hideMark/>
          </w:tcPr>
          <w:p w:rsidR="00E86ABB" w:rsidRPr="0094513F" w:rsidRDefault="00E86ABB" w:rsidP="0024543E">
            <w:pPr>
              <w:rPr>
                <w:rFonts w:cs="Calibri"/>
                <w:szCs w:val="22"/>
              </w:rPr>
            </w:pPr>
            <w:r w:rsidRPr="0094513F">
              <w:rPr>
                <w:rFonts w:cs="Calibri"/>
                <w:szCs w:val="22"/>
              </w:rPr>
              <w:t>UKBCSE</w:t>
            </w:r>
          </w:p>
        </w:tc>
        <w:tc>
          <w:tcPr>
            <w:tcW w:w="1091" w:type="dxa"/>
            <w:tcBorders>
              <w:top w:val="single" w:sz="2" w:space="0" w:color="31313D"/>
              <w:left w:val="single" w:sz="2" w:space="0" w:color="31313D"/>
              <w:bottom w:val="single" w:sz="2" w:space="0" w:color="31313D"/>
              <w:right w:val="nil"/>
            </w:tcBorders>
            <w:shd w:val="clear" w:color="auto" w:fill="auto"/>
            <w:noWrap/>
            <w:vAlign w:val="center"/>
            <w:hideMark/>
          </w:tcPr>
          <w:p w:rsidR="00E86ABB" w:rsidRPr="0094513F" w:rsidRDefault="00E86ABB" w:rsidP="0024543E">
            <w:pPr>
              <w:rPr>
                <w:rFonts w:cs="Calibri"/>
                <w:szCs w:val="22"/>
              </w:rPr>
            </w:pPr>
            <w:proofErr w:type="spellStart"/>
            <w:r w:rsidRPr="0094513F">
              <w:rPr>
                <w:rFonts w:cs="Calibri"/>
                <w:szCs w:val="22"/>
              </w:rPr>
              <w:t>Amisha</w:t>
            </w:r>
            <w:proofErr w:type="spellEnd"/>
          </w:p>
        </w:tc>
        <w:tc>
          <w:tcPr>
            <w:tcW w:w="1414" w:type="dxa"/>
            <w:tcBorders>
              <w:top w:val="single" w:sz="2" w:space="0" w:color="31313D"/>
              <w:left w:val="nil"/>
              <w:bottom w:val="single" w:sz="2" w:space="0" w:color="31313D"/>
              <w:right w:val="single" w:sz="2" w:space="0" w:color="31313D"/>
            </w:tcBorders>
            <w:shd w:val="clear" w:color="auto" w:fill="auto"/>
            <w:noWrap/>
            <w:vAlign w:val="center"/>
            <w:hideMark/>
          </w:tcPr>
          <w:p w:rsidR="00E86ABB" w:rsidRPr="0094513F" w:rsidRDefault="00E86ABB" w:rsidP="0024543E">
            <w:pPr>
              <w:rPr>
                <w:rFonts w:cs="Calibri"/>
                <w:szCs w:val="22"/>
              </w:rPr>
            </w:pPr>
            <w:r w:rsidRPr="0094513F">
              <w:rPr>
                <w:rFonts w:cs="Calibri"/>
                <w:szCs w:val="22"/>
              </w:rPr>
              <w:t>Patel</w:t>
            </w:r>
          </w:p>
        </w:tc>
        <w:tc>
          <w:tcPr>
            <w:tcW w:w="767" w:type="dxa"/>
            <w:tcBorders>
              <w:top w:val="nil"/>
              <w:left w:val="single" w:sz="2" w:space="0" w:color="31313D"/>
              <w:bottom w:val="nil"/>
              <w:right w:val="nil"/>
            </w:tcBorders>
          </w:tcPr>
          <w:p w:rsidR="00E86ABB" w:rsidRPr="0094513F" w:rsidRDefault="00E86ABB" w:rsidP="0024543E">
            <w:pPr>
              <w:rPr>
                <w:rFonts w:cs="Calibri"/>
                <w:szCs w:val="22"/>
              </w:rPr>
            </w:pPr>
          </w:p>
        </w:tc>
        <w:tc>
          <w:tcPr>
            <w:tcW w:w="5614" w:type="dxa"/>
            <w:gridSpan w:val="3"/>
            <w:tcBorders>
              <w:top w:val="nil"/>
              <w:left w:val="nil"/>
              <w:bottom w:val="nil"/>
              <w:right w:val="nil"/>
            </w:tcBorders>
            <w:shd w:val="clear" w:color="auto" w:fill="auto"/>
            <w:noWrap/>
            <w:vAlign w:val="center"/>
            <w:hideMark/>
          </w:tcPr>
          <w:p w:rsidR="00E86ABB" w:rsidRPr="0094513F" w:rsidRDefault="00E86ABB" w:rsidP="0024543E">
            <w:pPr>
              <w:rPr>
                <w:rFonts w:cs="Calibri"/>
                <w:szCs w:val="22"/>
              </w:rPr>
            </w:pPr>
          </w:p>
        </w:tc>
      </w:tr>
      <w:tr w:rsidR="0094513F" w:rsidRPr="0094513F" w:rsidTr="0094513F">
        <w:trPr>
          <w:trHeight w:val="300"/>
        </w:trPr>
        <w:tc>
          <w:tcPr>
            <w:tcW w:w="470" w:type="dxa"/>
            <w:tcBorders>
              <w:top w:val="nil"/>
              <w:left w:val="nil"/>
              <w:bottom w:val="nil"/>
              <w:right w:val="single" w:sz="2" w:space="0" w:color="31313D"/>
            </w:tcBorders>
            <w:shd w:val="clear" w:color="auto" w:fill="auto"/>
            <w:noWrap/>
            <w:vAlign w:val="center"/>
            <w:hideMark/>
          </w:tcPr>
          <w:p w:rsidR="00E86ABB" w:rsidRPr="0094513F" w:rsidRDefault="00E86ABB" w:rsidP="0024543E">
            <w:pPr>
              <w:jc w:val="right"/>
              <w:rPr>
                <w:rFonts w:cs="Calibri"/>
                <w:szCs w:val="22"/>
              </w:rPr>
            </w:pPr>
            <w:r w:rsidRPr="0094513F">
              <w:rPr>
                <w:rFonts w:cs="Calibri"/>
                <w:szCs w:val="22"/>
              </w:rPr>
              <w:t>9</w:t>
            </w:r>
          </w:p>
        </w:tc>
        <w:tc>
          <w:tcPr>
            <w:tcW w:w="2195" w:type="dxa"/>
            <w:tcBorders>
              <w:top w:val="single" w:sz="2" w:space="0" w:color="31313D"/>
              <w:left w:val="single" w:sz="2" w:space="0" w:color="31313D"/>
              <w:bottom w:val="single" w:sz="2" w:space="0" w:color="31313D"/>
              <w:right w:val="single" w:sz="2" w:space="0" w:color="31313D"/>
            </w:tcBorders>
            <w:shd w:val="clear" w:color="auto" w:fill="auto"/>
            <w:noWrap/>
            <w:vAlign w:val="center"/>
            <w:hideMark/>
          </w:tcPr>
          <w:p w:rsidR="00E86ABB" w:rsidRPr="0094513F" w:rsidRDefault="00E86ABB" w:rsidP="0024543E">
            <w:pPr>
              <w:rPr>
                <w:rFonts w:cs="Calibri"/>
                <w:szCs w:val="22"/>
              </w:rPr>
            </w:pPr>
            <w:r w:rsidRPr="0094513F">
              <w:rPr>
                <w:rFonts w:cs="Calibri"/>
                <w:szCs w:val="22"/>
              </w:rPr>
              <w:t>DECC</w:t>
            </w:r>
          </w:p>
        </w:tc>
        <w:tc>
          <w:tcPr>
            <w:tcW w:w="1091" w:type="dxa"/>
            <w:tcBorders>
              <w:top w:val="single" w:sz="2" w:space="0" w:color="31313D"/>
              <w:left w:val="single" w:sz="2" w:space="0" w:color="31313D"/>
              <w:bottom w:val="single" w:sz="2" w:space="0" w:color="31313D"/>
              <w:right w:val="nil"/>
            </w:tcBorders>
            <w:shd w:val="clear" w:color="auto" w:fill="auto"/>
            <w:noWrap/>
            <w:vAlign w:val="center"/>
            <w:hideMark/>
          </w:tcPr>
          <w:p w:rsidR="00E86ABB" w:rsidRPr="0094513F" w:rsidRDefault="00E86ABB" w:rsidP="0024543E">
            <w:pPr>
              <w:rPr>
                <w:rFonts w:cs="Calibri"/>
                <w:szCs w:val="22"/>
              </w:rPr>
            </w:pPr>
            <w:r w:rsidRPr="0094513F">
              <w:rPr>
                <w:rFonts w:cs="Calibri"/>
                <w:szCs w:val="22"/>
              </w:rPr>
              <w:t xml:space="preserve">David </w:t>
            </w:r>
          </w:p>
        </w:tc>
        <w:tc>
          <w:tcPr>
            <w:tcW w:w="1414" w:type="dxa"/>
            <w:tcBorders>
              <w:top w:val="single" w:sz="2" w:space="0" w:color="31313D"/>
              <w:left w:val="nil"/>
              <w:bottom w:val="single" w:sz="2" w:space="0" w:color="31313D"/>
              <w:right w:val="single" w:sz="2" w:space="0" w:color="31313D"/>
            </w:tcBorders>
            <w:shd w:val="clear" w:color="auto" w:fill="auto"/>
            <w:noWrap/>
            <w:vAlign w:val="center"/>
            <w:hideMark/>
          </w:tcPr>
          <w:p w:rsidR="00E86ABB" w:rsidRPr="0094513F" w:rsidRDefault="00E86ABB" w:rsidP="0024543E">
            <w:pPr>
              <w:rPr>
                <w:rFonts w:cs="Calibri"/>
                <w:szCs w:val="22"/>
              </w:rPr>
            </w:pPr>
            <w:proofErr w:type="spellStart"/>
            <w:r w:rsidRPr="0094513F">
              <w:rPr>
                <w:rFonts w:cs="Calibri"/>
                <w:szCs w:val="22"/>
              </w:rPr>
              <w:t>Wagstaff</w:t>
            </w:r>
            <w:proofErr w:type="spellEnd"/>
            <w:r w:rsidRPr="0094513F">
              <w:rPr>
                <w:rFonts w:cs="Calibri"/>
                <w:szCs w:val="22"/>
              </w:rPr>
              <w:t xml:space="preserve"> </w:t>
            </w:r>
          </w:p>
        </w:tc>
        <w:tc>
          <w:tcPr>
            <w:tcW w:w="767" w:type="dxa"/>
            <w:tcBorders>
              <w:top w:val="nil"/>
              <w:left w:val="single" w:sz="2" w:space="0" w:color="31313D"/>
              <w:bottom w:val="nil"/>
              <w:right w:val="nil"/>
            </w:tcBorders>
          </w:tcPr>
          <w:p w:rsidR="00E86ABB" w:rsidRPr="0094513F" w:rsidRDefault="00E86ABB" w:rsidP="0024543E">
            <w:pPr>
              <w:rPr>
                <w:rFonts w:cs="Calibri"/>
                <w:szCs w:val="22"/>
              </w:rPr>
            </w:pPr>
          </w:p>
        </w:tc>
        <w:tc>
          <w:tcPr>
            <w:tcW w:w="5614" w:type="dxa"/>
            <w:gridSpan w:val="3"/>
            <w:tcBorders>
              <w:top w:val="nil"/>
              <w:left w:val="nil"/>
              <w:bottom w:val="nil"/>
              <w:right w:val="nil"/>
            </w:tcBorders>
            <w:shd w:val="clear" w:color="auto" w:fill="auto"/>
            <w:noWrap/>
            <w:vAlign w:val="center"/>
            <w:hideMark/>
          </w:tcPr>
          <w:p w:rsidR="00E86ABB" w:rsidRPr="0094513F" w:rsidRDefault="00E86ABB" w:rsidP="0024543E">
            <w:pPr>
              <w:rPr>
                <w:rFonts w:cs="Calibri"/>
                <w:szCs w:val="22"/>
              </w:rPr>
            </w:pPr>
          </w:p>
        </w:tc>
      </w:tr>
      <w:tr w:rsidR="0094513F" w:rsidRPr="0094513F" w:rsidTr="0094513F">
        <w:trPr>
          <w:trHeight w:val="300"/>
        </w:trPr>
        <w:tc>
          <w:tcPr>
            <w:tcW w:w="470" w:type="dxa"/>
            <w:tcBorders>
              <w:top w:val="nil"/>
              <w:left w:val="nil"/>
              <w:bottom w:val="nil"/>
              <w:right w:val="single" w:sz="2" w:space="0" w:color="31313D"/>
            </w:tcBorders>
            <w:shd w:val="clear" w:color="auto" w:fill="auto"/>
            <w:noWrap/>
            <w:vAlign w:val="center"/>
            <w:hideMark/>
          </w:tcPr>
          <w:p w:rsidR="00E86ABB" w:rsidRPr="0094513F" w:rsidRDefault="00E86ABB" w:rsidP="0024543E">
            <w:pPr>
              <w:jc w:val="right"/>
              <w:rPr>
                <w:rFonts w:cs="Calibri"/>
                <w:szCs w:val="22"/>
              </w:rPr>
            </w:pPr>
            <w:r w:rsidRPr="0094513F">
              <w:rPr>
                <w:rFonts w:cs="Calibri"/>
                <w:szCs w:val="22"/>
              </w:rPr>
              <w:t>10</w:t>
            </w:r>
          </w:p>
        </w:tc>
        <w:tc>
          <w:tcPr>
            <w:tcW w:w="2195" w:type="dxa"/>
            <w:tcBorders>
              <w:top w:val="single" w:sz="2" w:space="0" w:color="31313D"/>
              <w:left w:val="single" w:sz="2" w:space="0" w:color="31313D"/>
              <w:bottom w:val="single" w:sz="2" w:space="0" w:color="31313D"/>
              <w:right w:val="single" w:sz="2" w:space="0" w:color="31313D"/>
            </w:tcBorders>
            <w:shd w:val="clear" w:color="auto" w:fill="auto"/>
            <w:noWrap/>
            <w:vAlign w:val="center"/>
            <w:hideMark/>
          </w:tcPr>
          <w:p w:rsidR="00E86ABB" w:rsidRPr="0094513F" w:rsidRDefault="00E86ABB" w:rsidP="0024543E">
            <w:pPr>
              <w:rPr>
                <w:rFonts w:cs="Calibri"/>
                <w:szCs w:val="22"/>
              </w:rPr>
            </w:pPr>
            <w:r w:rsidRPr="0094513F">
              <w:rPr>
                <w:rFonts w:cs="Calibri"/>
                <w:szCs w:val="22"/>
              </w:rPr>
              <w:t>DECC</w:t>
            </w:r>
          </w:p>
        </w:tc>
        <w:tc>
          <w:tcPr>
            <w:tcW w:w="1091" w:type="dxa"/>
            <w:tcBorders>
              <w:top w:val="single" w:sz="2" w:space="0" w:color="31313D"/>
              <w:left w:val="single" w:sz="2" w:space="0" w:color="31313D"/>
              <w:bottom w:val="single" w:sz="2" w:space="0" w:color="31313D"/>
              <w:right w:val="nil"/>
            </w:tcBorders>
            <w:shd w:val="clear" w:color="auto" w:fill="auto"/>
            <w:noWrap/>
            <w:vAlign w:val="center"/>
            <w:hideMark/>
          </w:tcPr>
          <w:p w:rsidR="00E86ABB" w:rsidRPr="0094513F" w:rsidRDefault="00E86ABB" w:rsidP="0024543E">
            <w:pPr>
              <w:rPr>
                <w:rFonts w:cs="Calibri"/>
                <w:szCs w:val="22"/>
              </w:rPr>
            </w:pPr>
            <w:proofErr w:type="spellStart"/>
            <w:r w:rsidRPr="0094513F">
              <w:rPr>
                <w:rFonts w:cs="Calibri"/>
                <w:szCs w:val="22"/>
              </w:rPr>
              <w:t>Daljit</w:t>
            </w:r>
            <w:proofErr w:type="spellEnd"/>
          </w:p>
        </w:tc>
        <w:tc>
          <w:tcPr>
            <w:tcW w:w="1414" w:type="dxa"/>
            <w:tcBorders>
              <w:top w:val="single" w:sz="2" w:space="0" w:color="31313D"/>
              <w:left w:val="nil"/>
              <w:bottom w:val="single" w:sz="2" w:space="0" w:color="31313D"/>
              <w:right w:val="single" w:sz="2" w:space="0" w:color="31313D"/>
            </w:tcBorders>
            <w:shd w:val="clear" w:color="auto" w:fill="auto"/>
            <w:noWrap/>
            <w:vAlign w:val="center"/>
            <w:hideMark/>
          </w:tcPr>
          <w:p w:rsidR="00E86ABB" w:rsidRPr="0094513F" w:rsidRDefault="00E86ABB" w:rsidP="0024543E">
            <w:pPr>
              <w:rPr>
                <w:rFonts w:cs="Calibri"/>
                <w:szCs w:val="22"/>
              </w:rPr>
            </w:pPr>
            <w:proofErr w:type="spellStart"/>
            <w:r w:rsidRPr="0094513F">
              <w:rPr>
                <w:rFonts w:cs="Calibri"/>
                <w:szCs w:val="22"/>
              </w:rPr>
              <w:t>Supria</w:t>
            </w:r>
            <w:proofErr w:type="spellEnd"/>
          </w:p>
        </w:tc>
        <w:tc>
          <w:tcPr>
            <w:tcW w:w="767" w:type="dxa"/>
            <w:tcBorders>
              <w:top w:val="nil"/>
              <w:left w:val="single" w:sz="2" w:space="0" w:color="31313D"/>
              <w:bottom w:val="nil"/>
              <w:right w:val="nil"/>
            </w:tcBorders>
          </w:tcPr>
          <w:p w:rsidR="00E86ABB" w:rsidRPr="0094513F" w:rsidRDefault="00E86ABB" w:rsidP="0024543E">
            <w:pPr>
              <w:rPr>
                <w:rFonts w:cs="Calibri"/>
                <w:color w:val="000000"/>
                <w:szCs w:val="22"/>
              </w:rPr>
            </w:pPr>
          </w:p>
        </w:tc>
        <w:tc>
          <w:tcPr>
            <w:tcW w:w="5614" w:type="dxa"/>
            <w:gridSpan w:val="3"/>
            <w:tcBorders>
              <w:top w:val="nil"/>
              <w:left w:val="nil"/>
              <w:bottom w:val="nil"/>
              <w:right w:val="nil"/>
            </w:tcBorders>
            <w:shd w:val="clear" w:color="auto" w:fill="auto"/>
            <w:noWrap/>
            <w:vAlign w:val="bottom"/>
            <w:hideMark/>
          </w:tcPr>
          <w:p w:rsidR="00E86ABB" w:rsidRPr="0094513F" w:rsidRDefault="00E86ABB" w:rsidP="0024543E">
            <w:pPr>
              <w:rPr>
                <w:rFonts w:cs="Calibri"/>
                <w:color w:val="000000"/>
                <w:szCs w:val="22"/>
              </w:rPr>
            </w:pPr>
          </w:p>
        </w:tc>
      </w:tr>
      <w:tr w:rsidR="00E86ABB" w:rsidRPr="0094513F" w:rsidTr="009B2D7E">
        <w:trPr>
          <w:gridAfter w:val="2"/>
          <w:wAfter w:w="2164" w:type="dxa"/>
          <w:trHeight w:val="420"/>
        </w:trPr>
        <w:tc>
          <w:tcPr>
            <w:tcW w:w="5170" w:type="dxa"/>
            <w:gridSpan w:val="4"/>
            <w:tcBorders>
              <w:top w:val="nil"/>
              <w:left w:val="nil"/>
              <w:bottom w:val="nil"/>
              <w:right w:val="nil"/>
            </w:tcBorders>
            <w:shd w:val="clear" w:color="auto" w:fill="auto"/>
            <w:noWrap/>
            <w:vAlign w:val="center"/>
            <w:hideMark/>
          </w:tcPr>
          <w:p w:rsidR="00E86ABB" w:rsidRPr="00800D70" w:rsidRDefault="00E86ABB" w:rsidP="005C799F">
            <w:pPr>
              <w:pStyle w:val="Heading4"/>
            </w:pPr>
            <w:proofErr w:type="gramStart"/>
            <w:r w:rsidRPr="00800D70">
              <w:t>did</w:t>
            </w:r>
            <w:proofErr w:type="gramEnd"/>
            <w:r w:rsidRPr="00800D70">
              <w:t xml:space="preserve"> not attend</w:t>
            </w:r>
          </w:p>
        </w:tc>
        <w:tc>
          <w:tcPr>
            <w:tcW w:w="767" w:type="dxa"/>
            <w:tcBorders>
              <w:top w:val="nil"/>
              <w:left w:val="nil"/>
              <w:bottom w:val="nil"/>
              <w:right w:val="nil"/>
            </w:tcBorders>
          </w:tcPr>
          <w:p w:rsidR="00E86ABB" w:rsidRPr="00800D70" w:rsidRDefault="00E86ABB" w:rsidP="00800D70">
            <w:pPr>
              <w:rPr>
                <w:rFonts w:ascii="Arial" w:hAnsi="Arial" w:cs="Arial"/>
                <w:sz w:val="20"/>
                <w:szCs w:val="20"/>
              </w:rPr>
            </w:pPr>
          </w:p>
        </w:tc>
        <w:tc>
          <w:tcPr>
            <w:tcW w:w="3450" w:type="dxa"/>
            <w:tcBorders>
              <w:top w:val="nil"/>
              <w:left w:val="nil"/>
              <w:bottom w:val="nil"/>
              <w:right w:val="nil"/>
            </w:tcBorders>
            <w:shd w:val="clear" w:color="auto" w:fill="auto"/>
            <w:noWrap/>
            <w:vAlign w:val="center"/>
            <w:hideMark/>
          </w:tcPr>
          <w:p w:rsidR="00E86ABB" w:rsidRPr="00800D70" w:rsidRDefault="00E86ABB" w:rsidP="00800D70">
            <w:pPr>
              <w:rPr>
                <w:rFonts w:ascii="Arial" w:hAnsi="Arial" w:cs="Arial"/>
                <w:sz w:val="20"/>
                <w:szCs w:val="20"/>
              </w:rPr>
            </w:pPr>
          </w:p>
        </w:tc>
      </w:tr>
      <w:tr w:rsidR="0094513F" w:rsidRPr="0094513F" w:rsidTr="0094513F">
        <w:trPr>
          <w:gridAfter w:val="1"/>
          <w:wAfter w:w="125" w:type="dxa"/>
          <w:trHeight w:val="300"/>
        </w:trPr>
        <w:tc>
          <w:tcPr>
            <w:tcW w:w="470" w:type="dxa"/>
            <w:tcBorders>
              <w:top w:val="nil"/>
              <w:left w:val="nil"/>
              <w:bottom w:val="nil"/>
              <w:right w:val="single" w:sz="2" w:space="0" w:color="31313D"/>
            </w:tcBorders>
            <w:shd w:val="clear" w:color="auto" w:fill="auto"/>
            <w:noWrap/>
            <w:vAlign w:val="center"/>
            <w:hideMark/>
          </w:tcPr>
          <w:p w:rsidR="00E86ABB" w:rsidRPr="0094513F" w:rsidRDefault="00E86ABB" w:rsidP="0024543E">
            <w:pPr>
              <w:jc w:val="right"/>
              <w:rPr>
                <w:rFonts w:cs="Calibri"/>
                <w:szCs w:val="22"/>
              </w:rPr>
            </w:pPr>
            <w:r w:rsidRPr="0094513F">
              <w:rPr>
                <w:rFonts w:cs="Calibri"/>
                <w:szCs w:val="22"/>
              </w:rPr>
              <w:t>3</w:t>
            </w:r>
          </w:p>
        </w:tc>
        <w:tc>
          <w:tcPr>
            <w:tcW w:w="2195" w:type="dxa"/>
            <w:tcBorders>
              <w:top w:val="single" w:sz="2" w:space="0" w:color="31313D"/>
              <w:left w:val="single" w:sz="2" w:space="0" w:color="31313D"/>
              <w:bottom w:val="single" w:sz="2" w:space="0" w:color="31313D"/>
              <w:right w:val="single" w:sz="2" w:space="0" w:color="31313D"/>
            </w:tcBorders>
            <w:shd w:val="clear" w:color="auto" w:fill="auto"/>
            <w:noWrap/>
            <w:vAlign w:val="center"/>
            <w:hideMark/>
          </w:tcPr>
          <w:p w:rsidR="00E86ABB" w:rsidRPr="0094513F" w:rsidRDefault="00E86ABB" w:rsidP="0024543E">
            <w:pPr>
              <w:rPr>
                <w:rFonts w:cs="Calibri"/>
                <w:szCs w:val="22"/>
              </w:rPr>
            </w:pPr>
            <w:r w:rsidRPr="0094513F">
              <w:rPr>
                <w:rFonts w:cs="Calibri"/>
                <w:szCs w:val="22"/>
              </w:rPr>
              <w:t xml:space="preserve">FETA  </w:t>
            </w:r>
          </w:p>
        </w:tc>
        <w:tc>
          <w:tcPr>
            <w:tcW w:w="1091" w:type="dxa"/>
            <w:tcBorders>
              <w:top w:val="single" w:sz="2" w:space="0" w:color="31313D"/>
              <w:left w:val="single" w:sz="2" w:space="0" w:color="31313D"/>
              <w:bottom w:val="single" w:sz="2" w:space="0" w:color="31313D"/>
              <w:right w:val="nil"/>
            </w:tcBorders>
            <w:shd w:val="clear" w:color="auto" w:fill="auto"/>
            <w:noWrap/>
            <w:vAlign w:val="center"/>
            <w:hideMark/>
          </w:tcPr>
          <w:p w:rsidR="00E86ABB" w:rsidRPr="0094513F" w:rsidRDefault="00E86ABB" w:rsidP="0024543E">
            <w:pPr>
              <w:rPr>
                <w:rFonts w:cs="Calibri"/>
                <w:szCs w:val="22"/>
              </w:rPr>
            </w:pPr>
            <w:r w:rsidRPr="0094513F">
              <w:rPr>
                <w:rFonts w:cs="Calibri"/>
                <w:szCs w:val="22"/>
              </w:rPr>
              <w:t xml:space="preserve">Terry </w:t>
            </w:r>
          </w:p>
        </w:tc>
        <w:tc>
          <w:tcPr>
            <w:tcW w:w="1414" w:type="dxa"/>
            <w:tcBorders>
              <w:top w:val="single" w:sz="2" w:space="0" w:color="31313D"/>
              <w:left w:val="nil"/>
              <w:bottom w:val="single" w:sz="2" w:space="0" w:color="31313D"/>
              <w:right w:val="single" w:sz="2" w:space="0" w:color="31313D"/>
            </w:tcBorders>
            <w:shd w:val="clear" w:color="auto" w:fill="auto"/>
            <w:noWrap/>
            <w:vAlign w:val="center"/>
            <w:hideMark/>
          </w:tcPr>
          <w:p w:rsidR="00E86ABB" w:rsidRPr="0094513F" w:rsidRDefault="00E86ABB" w:rsidP="0024543E">
            <w:pPr>
              <w:rPr>
                <w:rFonts w:cs="Calibri"/>
                <w:szCs w:val="22"/>
              </w:rPr>
            </w:pPr>
            <w:r w:rsidRPr="0094513F">
              <w:rPr>
                <w:rFonts w:cs="Calibri"/>
                <w:szCs w:val="22"/>
              </w:rPr>
              <w:t>Seward</w:t>
            </w:r>
          </w:p>
        </w:tc>
        <w:tc>
          <w:tcPr>
            <w:tcW w:w="767" w:type="dxa"/>
            <w:tcBorders>
              <w:top w:val="nil"/>
              <w:left w:val="single" w:sz="2" w:space="0" w:color="31313D"/>
              <w:bottom w:val="nil"/>
              <w:right w:val="nil"/>
            </w:tcBorders>
          </w:tcPr>
          <w:p w:rsidR="00E86ABB" w:rsidRPr="0094513F" w:rsidRDefault="00E86ABB" w:rsidP="0024543E">
            <w:pPr>
              <w:rPr>
                <w:rFonts w:cs="Calibri"/>
                <w:szCs w:val="22"/>
              </w:rPr>
            </w:pPr>
          </w:p>
        </w:tc>
        <w:tc>
          <w:tcPr>
            <w:tcW w:w="5489" w:type="dxa"/>
            <w:gridSpan w:val="2"/>
            <w:tcBorders>
              <w:top w:val="nil"/>
              <w:left w:val="nil"/>
              <w:bottom w:val="nil"/>
              <w:right w:val="nil"/>
            </w:tcBorders>
            <w:shd w:val="clear" w:color="auto" w:fill="auto"/>
            <w:noWrap/>
            <w:vAlign w:val="center"/>
            <w:hideMark/>
          </w:tcPr>
          <w:p w:rsidR="00E86ABB" w:rsidRPr="0094513F" w:rsidRDefault="00E86ABB" w:rsidP="0024543E">
            <w:pPr>
              <w:rPr>
                <w:rFonts w:cs="Calibri"/>
                <w:szCs w:val="22"/>
              </w:rPr>
            </w:pPr>
          </w:p>
        </w:tc>
      </w:tr>
      <w:tr w:rsidR="0094513F" w:rsidRPr="0094513F" w:rsidTr="0094513F">
        <w:trPr>
          <w:gridAfter w:val="1"/>
          <w:wAfter w:w="125" w:type="dxa"/>
          <w:trHeight w:val="300"/>
        </w:trPr>
        <w:tc>
          <w:tcPr>
            <w:tcW w:w="470" w:type="dxa"/>
            <w:tcBorders>
              <w:top w:val="nil"/>
              <w:left w:val="nil"/>
              <w:bottom w:val="nil"/>
              <w:right w:val="single" w:sz="2" w:space="0" w:color="31313D"/>
            </w:tcBorders>
            <w:shd w:val="clear" w:color="auto" w:fill="auto"/>
            <w:noWrap/>
            <w:vAlign w:val="center"/>
            <w:hideMark/>
          </w:tcPr>
          <w:p w:rsidR="00E86ABB" w:rsidRPr="0094513F" w:rsidRDefault="00E86ABB" w:rsidP="0024543E">
            <w:pPr>
              <w:jc w:val="right"/>
              <w:rPr>
                <w:rFonts w:cs="Calibri"/>
                <w:szCs w:val="22"/>
              </w:rPr>
            </w:pPr>
            <w:r w:rsidRPr="0094513F">
              <w:rPr>
                <w:rFonts w:cs="Calibri"/>
                <w:szCs w:val="22"/>
              </w:rPr>
              <w:t>4</w:t>
            </w:r>
          </w:p>
        </w:tc>
        <w:tc>
          <w:tcPr>
            <w:tcW w:w="2195" w:type="dxa"/>
            <w:tcBorders>
              <w:top w:val="single" w:sz="2" w:space="0" w:color="31313D"/>
              <w:left w:val="single" w:sz="2" w:space="0" w:color="31313D"/>
              <w:bottom w:val="single" w:sz="2" w:space="0" w:color="31313D"/>
              <w:right w:val="single" w:sz="2" w:space="0" w:color="31313D"/>
            </w:tcBorders>
            <w:shd w:val="clear" w:color="auto" w:fill="auto"/>
            <w:noWrap/>
            <w:vAlign w:val="center"/>
            <w:hideMark/>
          </w:tcPr>
          <w:p w:rsidR="00E86ABB" w:rsidRPr="0094513F" w:rsidRDefault="00E86ABB" w:rsidP="0024543E">
            <w:pPr>
              <w:rPr>
                <w:rFonts w:cs="Calibri"/>
                <w:szCs w:val="22"/>
              </w:rPr>
            </w:pPr>
            <w:r w:rsidRPr="0094513F">
              <w:rPr>
                <w:rFonts w:cs="Calibri"/>
                <w:szCs w:val="22"/>
              </w:rPr>
              <w:t>LGA</w:t>
            </w:r>
          </w:p>
        </w:tc>
        <w:tc>
          <w:tcPr>
            <w:tcW w:w="1091" w:type="dxa"/>
            <w:tcBorders>
              <w:top w:val="single" w:sz="2" w:space="0" w:color="31313D"/>
              <w:left w:val="single" w:sz="2" w:space="0" w:color="31313D"/>
              <w:bottom w:val="single" w:sz="2" w:space="0" w:color="31313D"/>
              <w:right w:val="nil"/>
            </w:tcBorders>
            <w:shd w:val="clear" w:color="auto" w:fill="auto"/>
            <w:noWrap/>
            <w:vAlign w:val="center"/>
            <w:hideMark/>
          </w:tcPr>
          <w:p w:rsidR="00E86ABB" w:rsidRPr="0094513F" w:rsidRDefault="00E86ABB" w:rsidP="0024543E">
            <w:pPr>
              <w:rPr>
                <w:rFonts w:cs="Calibri"/>
                <w:szCs w:val="22"/>
              </w:rPr>
            </w:pPr>
            <w:r w:rsidRPr="0094513F">
              <w:rPr>
                <w:rFonts w:cs="Calibri"/>
                <w:szCs w:val="22"/>
              </w:rPr>
              <w:t>Abigail</w:t>
            </w:r>
          </w:p>
        </w:tc>
        <w:tc>
          <w:tcPr>
            <w:tcW w:w="1414" w:type="dxa"/>
            <w:tcBorders>
              <w:top w:val="single" w:sz="2" w:space="0" w:color="31313D"/>
              <w:left w:val="nil"/>
              <w:bottom w:val="single" w:sz="2" w:space="0" w:color="31313D"/>
              <w:right w:val="single" w:sz="2" w:space="0" w:color="31313D"/>
            </w:tcBorders>
            <w:shd w:val="clear" w:color="auto" w:fill="auto"/>
            <w:noWrap/>
            <w:vAlign w:val="center"/>
            <w:hideMark/>
          </w:tcPr>
          <w:p w:rsidR="00E86ABB" w:rsidRPr="0094513F" w:rsidRDefault="00E86ABB" w:rsidP="0024543E">
            <w:pPr>
              <w:rPr>
                <w:rFonts w:cs="Calibri"/>
                <w:szCs w:val="22"/>
              </w:rPr>
            </w:pPr>
            <w:proofErr w:type="spellStart"/>
            <w:r w:rsidRPr="0094513F">
              <w:rPr>
                <w:rFonts w:cs="Calibri"/>
                <w:szCs w:val="22"/>
              </w:rPr>
              <w:t>Burridge</w:t>
            </w:r>
            <w:proofErr w:type="spellEnd"/>
            <w:r w:rsidRPr="0094513F">
              <w:rPr>
                <w:rFonts w:cs="Calibri"/>
                <w:szCs w:val="22"/>
              </w:rPr>
              <w:t xml:space="preserve"> </w:t>
            </w:r>
          </w:p>
        </w:tc>
        <w:tc>
          <w:tcPr>
            <w:tcW w:w="767" w:type="dxa"/>
            <w:tcBorders>
              <w:top w:val="nil"/>
              <w:left w:val="single" w:sz="2" w:space="0" w:color="31313D"/>
              <w:bottom w:val="nil"/>
              <w:right w:val="nil"/>
            </w:tcBorders>
          </w:tcPr>
          <w:p w:rsidR="00E86ABB" w:rsidRPr="0094513F" w:rsidRDefault="00E86ABB" w:rsidP="0024543E">
            <w:pPr>
              <w:rPr>
                <w:rFonts w:cs="Calibri"/>
                <w:szCs w:val="22"/>
              </w:rPr>
            </w:pPr>
          </w:p>
        </w:tc>
        <w:tc>
          <w:tcPr>
            <w:tcW w:w="5489" w:type="dxa"/>
            <w:gridSpan w:val="2"/>
            <w:tcBorders>
              <w:top w:val="nil"/>
              <w:left w:val="nil"/>
              <w:bottom w:val="nil"/>
              <w:right w:val="nil"/>
            </w:tcBorders>
            <w:shd w:val="clear" w:color="auto" w:fill="auto"/>
            <w:noWrap/>
            <w:vAlign w:val="center"/>
            <w:hideMark/>
          </w:tcPr>
          <w:p w:rsidR="00E86ABB" w:rsidRPr="0094513F" w:rsidRDefault="00E86ABB" w:rsidP="0024543E">
            <w:pPr>
              <w:rPr>
                <w:rFonts w:cs="Calibri"/>
                <w:szCs w:val="22"/>
              </w:rPr>
            </w:pPr>
          </w:p>
        </w:tc>
      </w:tr>
      <w:tr w:rsidR="0094513F" w:rsidRPr="0094513F" w:rsidTr="0094513F">
        <w:trPr>
          <w:gridAfter w:val="1"/>
          <w:wAfter w:w="125" w:type="dxa"/>
          <w:trHeight w:val="300"/>
        </w:trPr>
        <w:tc>
          <w:tcPr>
            <w:tcW w:w="470" w:type="dxa"/>
            <w:tcBorders>
              <w:top w:val="nil"/>
              <w:left w:val="nil"/>
              <w:bottom w:val="nil"/>
              <w:right w:val="single" w:sz="2" w:space="0" w:color="31313D"/>
            </w:tcBorders>
            <w:shd w:val="clear" w:color="auto" w:fill="auto"/>
            <w:noWrap/>
            <w:vAlign w:val="center"/>
            <w:hideMark/>
          </w:tcPr>
          <w:p w:rsidR="00E86ABB" w:rsidRPr="0094513F" w:rsidRDefault="00E86ABB" w:rsidP="0024543E">
            <w:pPr>
              <w:jc w:val="right"/>
              <w:rPr>
                <w:rFonts w:cs="Calibri"/>
                <w:szCs w:val="22"/>
              </w:rPr>
            </w:pPr>
            <w:r w:rsidRPr="0094513F">
              <w:rPr>
                <w:rFonts w:cs="Calibri"/>
                <w:szCs w:val="22"/>
              </w:rPr>
              <w:t>5</w:t>
            </w:r>
          </w:p>
        </w:tc>
        <w:tc>
          <w:tcPr>
            <w:tcW w:w="2195" w:type="dxa"/>
            <w:tcBorders>
              <w:top w:val="single" w:sz="2" w:space="0" w:color="31313D"/>
              <w:left w:val="single" w:sz="2" w:space="0" w:color="31313D"/>
              <w:bottom w:val="single" w:sz="2" w:space="0" w:color="31313D"/>
              <w:right w:val="single" w:sz="2" w:space="0" w:color="31313D"/>
            </w:tcBorders>
            <w:shd w:val="clear" w:color="auto" w:fill="auto"/>
            <w:noWrap/>
            <w:vAlign w:val="center"/>
            <w:hideMark/>
          </w:tcPr>
          <w:p w:rsidR="00E86ABB" w:rsidRPr="0094513F" w:rsidRDefault="00E86ABB" w:rsidP="0024543E">
            <w:pPr>
              <w:rPr>
                <w:rFonts w:cs="Calibri"/>
                <w:szCs w:val="22"/>
              </w:rPr>
            </w:pPr>
            <w:r w:rsidRPr="0094513F">
              <w:rPr>
                <w:rFonts w:cs="Calibri"/>
                <w:szCs w:val="22"/>
              </w:rPr>
              <w:t>DECC</w:t>
            </w:r>
          </w:p>
        </w:tc>
        <w:tc>
          <w:tcPr>
            <w:tcW w:w="1091" w:type="dxa"/>
            <w:tcBorders>
              <w:top w:val="single" w:sz="2" w:space="0" w:color="31313D"/>
              <w:left w:val="single" w:sz="2" w:space="0" w:color="31313D"/>
              <w:bottom w:val="single" w:sz="2" w:space="0" w:color="31313D"/>
              <w:right w:val="nil"/>
            </w:tcBorders>
            <w:shd w:val="clear" w:color="auto" w:fill="auto"/>
            <w:noWrap/>
            <w:vAlign w:val="center"/>
            <w:hideMark/>
          </w:tcPr>
          <w:p w:rsidR="00E86ABB" w:rsidRPr="0094513F" w:rsidRDefault="00E86ABB" w:rsidP="0024543E">
            <w:pPr>
              <w:rPr>
                <w:rFonts w:cs="Calibri"/>
                <w:szCs w:val="22"/>
              </w:rPr>
            </w:pPr>
            <w:proofErr w:type="spellStart"/>
            <w:r w:rsidRPr="0094513F">
              <w:rPr>
                <w:rFonts w:cs="Calibri"/>
                <w:szCs w:val="22"/>
              </w:rPr>
              <w:t>Dipak</w:t>
            </w:r>
            <w:proofErr w:type="spellEnd"/>
          </w:p>
        </w:tc>
        <w:tc>
          <w:tcPr>
            <w:tcW w:w="1414" w:type="dxa"/>
            <w:tcBorders>
              <w:top w:val="single" w:sz="2" w:space="0" w:color="31313D"/>
              <w:left w:val="nil"/>
              <w:bottom w:val="single" w:sz="2" w:space="0" w:color="31313D"/>
              <w:right w:val="single" w:sz="2" w:space="0" w:color="31313D"/>
            </w:tcBorders>
            <w:shd w:val="clear" w:color="auto" w:fill="auto"/>
            <w:noWrap/>
            <w:vAlign w:val="center"/>
            <w:hideMark/>
          </w:tcPr>
          <w:p w:rsidR="00E86ABB" w:rsidRPr="0094513F" w:rsidRDefault="00E86ABB" w:rsidP="0024543E">
            <w:pPr>
              <w:rPr>
                <w:rFonts w:cs="Calibri"/>
                <w:szCs w:val="22"/>
              </w:rPr>
            </w:pPr>
            <w:r w:rsidRPr="0094513F">
              <w:rPr>
                <w:rFonts w:cs="Calibri"/>
                <w:szCs w:val="22"/>
              </w:rPr>
              <w:t>Shah</w:t>
            </w:r>
          </w:p>
        </w:tc>
        <w:tc>
          <w:tcPr>
            <w:tcW w:w="767" w:type="dxa"/>
            <w:tcBorders>
              <w:top w:val="nil"/>
              <w:left w:val="single" w:sz="2" w:space="0" w:color="31313D"/>
              <w:bottom w:val="nil"/>
              <w:right w:val="nil"/>
            </w:tcBorders>
          </w:tcPr>
          <w:p w:rsidR="00E86ABB" w:rsidRPr="0094513F" w:rsidRDefault="00E86ABB" w:rsidP="0024543E">
            <w:pPr>
              <w:rPr>
                <w:rFonts w:cs="Calibri"/>
                <w:szCs w:val="22"/>
              </w:rPr>
            </w:pPr>
          </w:p>
        </w:tc>
        <w:tc>
          <w:tcPr>
            <w:tcW w:w="5489" w:type="dxa"/>
            <w:gridSpan w:val="2"/>
            <w:tcBorders>
              <w:top w:val="nil"/>
              <w:left w:val="nil"/>
              <w:bottom w:val="nil"/>
              <w:right w:val="nil"/>
            </w:tcBorders>
            <w:shd w:val="clear" w:color="auto" w:fill="auto"/>
            <w:noWrap/>
            <w:vAlign w:val="center"/>
            <w:hideMark/>
          </w:tcPr>
          <w:p w:rsidR="00E86ABB" w:rsidRPr="0094513F" w:rsidRDefault="00E86ABB" w:rsidP="0024543E">
            <w:pPr>
              <w:rPr>
                <w:rFonts w:cs="Calibri"/>
                <w:szCs w:val="22"/>
              </w:rPr>
            </w:pPr>
            <w:r w:rsidRPr="0094513F">
              <w:rPr>
                <w:rFonts w:cs="Calibri"/>
                <w:szCs w:val="22"/>
              </w:rPr>
              <w:t> </w:t>
            </w:r>
          </w:p>
        </w:tc>
      </w:tr>
      <w:tr w:rsidR="0094513F" w:rsidRPr="0094513F" w:rsidTr="0094513F">
        <w:trPr>
          <w:gridAfter w:val="1"/>
          <w:wAfter w:w="125" w:type="dxa"/>
          <w:trHeight w:val="300"/>
        </w:trPr>
        <w:tc>
          <w:tcPr>
            <w:tcW w:w="470" w:type="dxa"/>
            <w:tcBorders>
              <w:top w:val="nil"/>
              <w:left w:val="nil"/>
              <w:bottom w:val="nil"/>
              <w:right w:val="single" w:sz="2" w:space="0" w:color="31313D"/>
            </w:tcBorders>
            <w:shd w:val="clear" w:color="auto" w:fill="auto"/>
            <w:noWrap/>
            <w:vAlign w:val="center"/>
            <w:hideMark/>
          </w:tcPr>
          <w:p w:rsidR="00E86ABB" w:rsidRPr="0094513F" w:rsidRDefault="00E86ABB" w:rsidP="0024543E">
            <w:pPr>
              <w:jc w:val="right"/>
              <w:rPr>
                <w:rFonts w:cs="Calibri"/>
                <w:szCs w:val="22"/>
              </w:rPr>
            </w:pPr>
            <w:r w:rsidRPr="0094513F">
              <w:rPr>
                <w:rFonts w:cs="Calibri"/>
                <w:szCs w:val="22"/>
              </w:rPr>
              <w:t>6</w:t>
            </w:r>
          </w:p>
        </w:tc>
        <w:tc>
          <w:tcPr>
            <w:tcW w:w="2195" w:type="dxa"/>
            <w:tcBorders>
              <w:top w:val="single" w:sz="2" w:space="0" w:color="31313D"/>
              <w:left w:val="single" w:sz="2" w:space="0" w:color="31313D"/>
              <w:bottom w:val="single" w:sz="2" w:space="0" w:color="31313D"/>
              <w:right w:val="single" w:sz="2" w:space="0" w:color="31313D"/>
            </w:tcBorders>
            <w:shd w:val="clear" w:color="auto" w:fill="auto"/>
            <w:noWrap/>
            <w:vAlign w:val="center"/>
            <w:hideMark/>
          </w:tcPr>
          <w:p w:rsidR="00E86ABB" w:rsidRPr="0094513F" w:rsidRDefault="00E86ABB" w:rsidP="0024543E">
            <w:pPr>
              <w:rPr>
                <w:rFonts w:cs="Calibri"/>
                <w:szCs w:val="22"/>
              </w:rPr>
            </w:pPr>
            <w:r w:rsidRPr="0094513F">
              <w:rPr>
                <w:rFonts w:cs="Calibri"/>
                <w:szCs w:val="22"/>
              </w:rPr>
              <w:t>Scottish Government</w:t>
            </w:r>
          </w:p>
        </w:tc>
        <w:tc>
          <w:tcPr>
            <w:tcW w:w="1091" w:type="dxa"/>
            <w:tcBorders>
              <w:top w:val="single" w:sz="2" w:space="0" w:color="31313D"/>
              <w:left w:val="single" w:sz="2" w:space="0" w:color="31313D"/>
              <w:bottom w:val="single" w:sz="2" w:space="0" w:color="31313D"/>
              <w:right w:val="nil"/>
            </w:tcBorders>
            <w:shd w:val="clear" w:color="auto" w:fill="auto"/>
            <w:noWrap/>
            <w:vAlign w:val="center"/>
            <w:hideMark/>
          </w:tcPr>
          <w:p w:rsidR="00E86ABB" w:rsidRPr="0094513F" w:rsidRDefault="00E86ABB" w:rsidP="0024543E">
            <w:pPr>
              <w:rPr>
                <w:rFonts w:cs="Calibri"/>
                <w:szCs w:val="22"/>
              </w:rPr>
            </w:pPr>
            <w:r w:rsidRPr="0094513F">
              <w:rPr>
                <w:rFonts w:cs="Calibri"/>
                <w:szCs w:val="22"/>
              </w:rPr>
              <w:t>Rebecca</w:t>
            </w:r>
          </w:p>
        </w:tc>
        <w:tc>
          <w:tcPr>
            <w:tcW w:w="1414" w:type="dxa"/>
            <w:tcBorders>
              <w:top w:val="single" w:sz="2" w:space="0" w:color="31313D"/>
              <w:left w:val="nil"/>
              <w:bottom w:val="single" w:sz="2" w:space="0" w:color="31313D"/>
              <w:right w:val="single" w:sz="2" w:space="0" w:color="31313D"/>
            </w:tcBorders>
            <w:shd w:val="clear" w:color="auto" w:fill="auto"/>
            <w:noWrap/>
            <w:vAlign w:val="center"/>
            <w:hideMark/>
          </w:tcPr>
          <w:p w:rsidR="00E86ABB" w:rsidRPr="0094513F" w:rsidRDefault="00E86ABB" w:rsidP="0024543E">
            <w:pPr>
              <w:rPr>
                <w:rFonts w:cs="Calibri"/>
                <w:szCs w:val="22"/>
              </w:rPr>
            </w:pPr>
            <w:r w:rsidRPr="0094513F">
              <w:rPr>
                <w:rFonts w:cs="Calibri"/>
                <w:szCs w:val="22"/>
              </w:rPr>
              <w:t>Carr</w:t>
            </w:r>
          </w:p>
        </w:tc>
        <w:tc>
          <w:tcPr>
            <w:tcW w:w="767" w:type="dxa"/>
            <w:tcBorders>
              <w:top w:val="nil"/>
              <w:left w:val="single" w:sz="2" w:space="0" w:color="31313D"/>
              <w:bottom w:val="nil"/>
              <w:right w:val="nil"/>
            </w:tcBorders>
          </w:tcPr>
          <w:p w:rsidR="00E86ABB" w:rsidRPr="0094513F" w:rsidRDefault="00E86ABB" w:rsidP="0024543E">
            <w:pPr>
              <w:rPr>
                <w:rFonts w:cs="Calibri"/>
                <w:szCs w:val="22"/>
              </w:rPr>
            </w:pPr>
          </w:p>
        </w:tc>
        <w:tc>
          <w:tcPr>
            <w:tcW w:w="5489" w:type="dxa"/>
            <w:gridSpan w:val="2"/>
            <w:tcBorders>
              <w:top w:val="nil"/>
              <w:left w:val="nil"/>
              <w:bottom w:val="nil"/>
              <w:right w:val="nil"/>
            </w:tcBorders>
            <w:shd w:val="clear" w:color="auto" w:fill="auto"/>
            <w:noWrap/>
            <w:vAlign w:val="center"/>
            <w:hideMark/>
          </w:tcPr>
          <w:p w:rsidR="00E86ABB" w:rsidRPr="0094513F" w:rsidRDefault="00E86ABB" w:rsidP="0024543E">
            <w:pPr>
              <w:rPr>
                <w:rFonts w:cs="Calibri"/>
                <w:szCs w:val="22"/>
              </w:rPr>
            </w:pPr>
          </w:p>
        </w:tc>
      </w:tr>
    </w:tbl>
    <w:p w:rsidR="00800D70" w:rsidRPr="00800D70" w:rsidRDefault="00800D70" w:rsidP="00800D70">
      <w:pPr>
        <w:rPr>
          <w:sz w:val="23"/>
        </w:rPr>
      </w:pPr>
    </w:p>
    <w:p w:rsidR="00800D70" w:rsidRPr="00800D70" w:rsidRDefault="00800D70" w:rsidP="00800D70">
      <w:pPr>
        <w:rPr>
          <w:sz w:val="23"/>
        </w:rPr>
      </w:pPr>
    </w:p>
    <w:p w:rsidR="00800D70" w:rsidRDefault="001D3B35" w:rsidP="00C647DD">
      <w:pPr>
        <w:pStyle w:val="Heading2"/>
      </w:pPr>
      <w:r>
        <w:lastRenderedPageBreak/>
        <w:t>Summary n</w:t>
      </w:r>
      <w:r w:rsidR="008B1021">
        <w:t>otes</w:t>
      </w:r>
    </w:p>
    <w:tbl>
      <w:tblPr>
        <w:tblW w:w="9299" w:type="dxa"/>
        <w:jc w:val="center"/>
        <w:tblBorders>
          <w:top w:val="single" w:sz="2" w:space="0" w:color="31313D"/>
          <w:left w:val="single" w:sz="2" w:space="0" w:color="31313D"/>
          <w:bottom w:val="single" w:sz="2" w:space="0" w:color="31313D"/>
          <w:right w:val="single" w:sz="2" w:space="0" w:color="31313D"/>
          <w:insideH w:val="single" w:sz="2" w:space="0" w:color="31313D"/>
          <w:insideV w:val="single" w:sz="2" w:space="0" w:color="31313D"/>
        </w:tblBorders>
        <w:tblCellMar>
          <w:top w:w="28" w:type="dxa"/>
          <w:bottom w:w="28" w:type="dxa"/>
        </w:tblCellMar>
        <w:tblLook w:val="00A0" w:firstRow="1" w:lastRow="0" w:firstColumn="1" w:lastColumn="0" w:noHBand="0" w:noVBand="0"/>
      </w:tblPr>
      <w:tblGrid>
        <w:gridCol w:w="9299"/>
      </w:tblGrid>
      <w:tr w:rsidR="00C02FC3" w:rsidRPr="0094513F" w:rsidTr="0094513F">
        <w:trPr>
          <w:jc w:val="center"/>
        </w:trPr>
        <w:tc>
          <w:tcPr>
            <w:tcW w:w="9299" w:type="dxa"/>
            <w:shd w:val="clear" w:color="auto" w:fill="E6E6E6"/>
            <w:vAlign w:val="center"/>
          </w:tcPr>
          <w:p w:rsidR="00C02FC3" w:rsidRPr="0094513F" w:rsidRDefault="00C02FC3" w:rsidP="002C16CE">
            <w:pPr>
              <w:numPr>
                <w:ilvl w:val="0"/>
                <w:numId w:val="20"/>
              </w:numPr>
              <w:tabs>
                <w:tab w:val="clear" w:pos="360"/>
                <w:tab w:val="left" w:pos="284"/>
              </w:tabs>
              <w:ind w:left="357" w:hanging="357"/>
              <w:contextualSpacing/>
              <w:rPr>
                <w:rFonts w:cs="Calibri"/>
                <w:sz w:val="23"/>
              </w:rPr>
            </w:pPr>
            <w:r w:rsidRPr="0094513F">
              <w:rPr>
                <w:rFonts w:cs="Calibri"/>
                <w:sz w:val="23"/>
              </w:rPr>
              <w:t>Notes from last meeting</w:t>
            </w:r>
          </w:p>
        </w:tc>
      </w:tr>
      <w:tr w:rsidR="00C02FC3" w:rsidRPr="0094513F" w:rsidTr="0094513F">
        <w:trPr>
          <w:jc w:val="center"/>
        </w:trPr>
        <w:tc>
          <w:tcPr>
            <w:tcW w:w="9299" w:type="dxa"/>
          </w:tcPr>
          <w:p w:rsidR="00C02FC3" w:rsidRPr="0094513F" w:rsidRDefault="00C02FC3" w:rsidP="002C16CE">
            <w:pPr>
              <w:numPr>
                <w:ilvl w:val="0"/>
                <w:numId w:val="17"/>
              </w:numPr>
              <w:tabs>
                <w:tab w:val="clear" w:pos="926"/>
                <w:tab w:val="left" w:pos="737"/>
              </w:tabs>
              <w:ind w:left="738" w:hanging="284"/>
              <w:contextualSpacing/>
              <w:rPr>
                <w:rFonts w:cs="Calibri"/>
              </w:rPr>
            </w:pPr>
            <w:r w:rsidRPr="0094513F">
              <w:rPr>
                <w:rFonts w:cs="Calibri"/>
              </w:rPr>
              <w:t>The notes from the last meeting were approved. The remaining actions (on NH and GR) are picked up at this meeting.</w:t>
            </w:r>
          </w:p>
        </w:tc>
      </w:tr>
      <w:tr w:rsidR="00C02FC3" w:rsidRPr="0094513F" w:rsidTr="0094513F">
        <w:trPr>
          <w:jc w:val="center"/>
        </w:trPr>
        <w:tc>
          <w:tcPr>
            <w:tcW w:w="9299" w:type="dxa"/>
            <w:shd w:val="clear" w:color="auto" w:fill="E6E6E6"/>
            <w:vAlign w:val="center"/>
          </w:tcPr>
          <w:p w:rsidR="00C02FC3" w:rsidRPr="0094513F" w:rsidRDefault="00C02FC3" w:rsidP="002C16CE">
            <w:pPr>
              <w:numPr>
                <w:ilvl w:val="0"/>
                <w:numId w:val="20"/>
              </w:numPr>
              <w:tabs>
                <w:tab w:val="clear" w:pos="360"/>
                <w:tab w:val="left" w:pos="284"/>
              </w:tabs>
              <w:ind w:left="357" w:hanging="357"/>
              <w:contextualSpacing/>
              <w:rPr>
                <w:rFonts w:cs="Calibri"/>
                <w:sz w:val="23"/>
              </w:rPr>
            </w:pPr>
            <w:r w:rsidRPr="0094513F">
              <w:rPr>
                <w:rFonts w:cs="Calibri"/>
                <w:sz w:val="23"/>
              </w:rPr>
              <w:t>Warranties</w:t>
            </w:r>
          </w:p>
        </w:tc>
      </w:tr>
      <w:tr w:rsidR="00C02FC3" w:rsidRPr="0094513F" w:rsidTr="0094513F">
        <w:trPr>
          <w:jc w:val="center"/>
        </w:trPr>
        <w:tc>
          <w:tcPr>
            <w:tcW w:w="9299" w:type="dxa"/>
          </w:tcPr>
          <w:p w:rsidR="001D3B35" w:rsidRPr="0094513F" w:rsidRDefault="001D3B35" w:rsidP="002C16CE">
            <w:pPr>
              <w:numPr>
                <w:ilvl w:val="0"/>
                <w:numId w:val="17"/>
              </w:numPr>
              <w:tabs>
                <w:tab w:val="clear" w:pos="926"/>
                <w:tab w:val="left" w:pos="737"/>
              </w:tabs>
              <w:ind w:left="738" w:hanging="284"/>
              <w:contextualSpacing/>
              <w:rPr>
                <w:rFonts w:cs="Calibri"/>
              </w:rPr>
            </w:pPr>
            <w:r w:rsidRPr="0094513F">
              <w:rPr>
                <w:rFonts w:cs="Calibri"/>
              </w:rPr>
              <w:t xml:space="preserve">The main question is what protection there is for customers if a manufacturer of </w:t>
            </w:r>
            <w:proofErr w:type="spellStart"/>
            <w:r w:rsidRPr="0094513F">
              <w:rPr>
                <w:rFonts w:cs="Calibri"/>
              </w:rPr>
              <w:t>microgeneration</w:t>
            </w:r>
            <w:proofErr w:type="spellEnd"/>
            <w:r w:rsidRPr="0094513F">
              <w:rPr>
                <w:rFonts w:cs="Calibri"/>
              </w:rPr>
              <w:t xml:space="preserve"> products goes </w:t>
            </w:r>
            <w:r w:rsidR="00EE39BB">
              <w:rPr>
                <w:rFonts w:cs="Calibri"/>
              </w:rPr>
              <w:t>out of business</w:t>
            </w:r>
            <w:r w:rsidRPr="0094513F">
              <w:rPr>
                <w:rFonts w:cs="Calibri"/>
              </w:rPr>
              <w:t xml:space="preserve">.  </w:t>
            </w:r>
          </w:p>
          <w:p w:rsidR="001D3B35" w:rsidRPr="0094513F" w:rsidRDefault="001D3B35" w:rsidP="002C16CE">
            <w:pPr>
              <w:numPr>
                <w:ilvl w:val="0"/>
                <w:numId w:val="17"/>
              </w:numPr>
              <w:tabs>
                <w:tab w:val="clear" w:pos="926"/>
                <w:tab w:val="left" w:pos="737"/>
              </w:tabs>
              <w:ind w:left="738" w:hanging="284"/>
              <w:contextualSpacing/>
              <w:rPr>
                <w:rFonts w:cs="Calibri"/>
              </w:rPr>
            </w:pPr>
            <w:r w:rsidRPr="0094513F">
              <w:rPr>
                <w:rFonts w:cs="Calibri"/>
              </w:rPr>
              <w:t>MCS can suspend certification of a certain product pending remedial action and if escalated can withdraw certification of the product or the entire company. However it cannot cover all redress claims in relation with the product or company.</w:t>
            </w:r>
          </w:p>
          <w:p w:rsidR="00E86ABB" w:rsidRPr="00EE39BB" w:rsidRDefault="001D3B35" w:rsidP="002C16CE">
            <w:pPr>
              <w:numPr>
                <w:ilvl w:val="0"/>
                <w:numId w:val="17"/>
              </w:numPr>
              <w:tabs>
                <w:tab w:val="clear" w:pos="926"/>
                <w:tab w:val="left" w:pos="737"/>
              </w:tabs>
              <w:ind w:left="738" w:hanging="284"/>
              <w:contextualSpacing/>
              <w:rPr>
                <w:rFonts w:cs="Calibri"/>
              </w:rPr>
            </w:pPr>
            <w:r w:rsidRPr="0094513F">
              <w:rPr>
                <w:rFonts w:cs="Calibri"/>
              </w:rPr>
              <w:t xml:space="preserve">There is a reputational risk associated with this – customers </w:t>
            </w:r>
            <w:r w:rsidR="00EE39BB">
              <w:rPr>
                <w:rFonts w:cs="Calibri"/>
              </w:rPr>
              <w:t xml:space="preserve">should be informed </w:t>
            </w:r>
            <w:r w:rsidR="00EA36A4">
              <w:rPr>
                <w:rFonts w:cs="Calibri"/>
              </w:rPr>
              <w:t xml:space="preserve">clearly and </w:t>
            </w:r>
            <w:r w:rsidR="00EE39BB">
              <w:rPr>
                <w:rFonts w:cs="Calibri"/>
              </w:rPr>
              <w:t xml:space="preserve">upfront about the </w:t>
            </w:r>
            <w:r w:rsidR="00EA36A4">
              <w:rPr>
                <w:rFonts w:cs="Calibri"/>
              </w:rPr>
              <w:t>remit</w:t>
            </w:r>
            <w:r w:rsidR="00EE39BB">
              <w:rPr>
                <w:rFonts w:cs="Calibri"/>
              </w:rPr>
              <w:t xml:space="preserve"> of MCS and REAL certification. </w:t>
            </w:r>
            <w:r w:rsidR="000633E2" w:rsidRPr="00EE39BB">
              <w:rPr>
                <w:rFonts w:cs="Calibri"/>
              </w:rPr>
              <w:t>Manufacturers</w:t>
            </w:r>
            <w:r w:rsidR="001C1FB2" w:rsidRPr="00EE39BB">
              <w:rPr>
                <w:rFonts w:cs="Calibri"/>
              </w:rPr>
              <w:t>’</w:t>
            </w:r>
            <w:r w:rsidR="000633E2" w:rsidRPr="00EE39BB">
              <w:rPr>
                <w:rFonts w:cs="Calibri"/>
              </w:rPr>
              <w:t xml:space="preserve"> guarantees typically last 12 </w:t>
            </w:r>
            <w:proofErr w:type="gramStart"/>
            <w:r w:rsidR="000633E2" w:rsidRPr="00EE39BB">
              <w:rPr>
                <w:rFonts w:cs="Calibri"/>
              </w:rPr>
              <w:t>months,</w:t>
            </w:r>
            <w:proofErr w:type="gramEnd"/>
            <w:r w:rsidR="000633E2" w:rsidRPr="00EE39BB">
              <w:rPr>
                <w:rFonts w:cs="Calibri"/>
              </w:rPr>
              <w:t xml:space="preserve"> and the TSI confirmed that not much could be done after that </w:t>
            </w:r>
            <w:r w:rsidR="00E86ABB" w:rsidRPr="00EE39BB">
              <w:rPr>
                <w:rFonts w:cs="Calibri"/>
              </w:rPr>
              <w:t xml:space="preserve">period. </w:t>
            </w:r>
          </w:p>
          <w:p w:rsidR="00E86ABB" w:rsidRPr="00EE39BB" w:rsidRDefault="00E86ABB" w:rsidP="002C16CE">
            <w:pPr>
              <w:numPr>
                <w:ilvl w:val="0"/>
                <w:numId w:val="17"/>
              </w:numPr>
              <w:tabs>
                <w:tab w:val="clear" w:pos="926"/>
                <w:tab w:val="left" w:pos="737"/>
              </w:tabs>
              <w:ind w:left="738" w:hanging="284"/>
              <w:contextualSpacing/>
              <w:rPr>
                <w:rFonts w:cs="Calibri"/>
              </w:rPr>
            </w:pPr>
            <w:r w:rsidRPr="00EE39BB">
              <w:rPr>
                <w:rFonts w:cs="Calibri"/>
              </w:rPr>
              <w:t xml:space="preserve">Insurance-backed extended warranty schemes can cost substantial amounts. The amount paid into an insurance fund could be </w:t>
            </w:r>
            <w:r w:rsidR="009B2D7E" w:rsidRPr="00EE39BB">
              <w:rPr>
                <w:rFonts w:cs="Calibri"/>
              </w:rPr>
              <w:t xml:space="preserve">tiered </w:t>
            </w:r>
            <w:r w:rsidRPr="00EE39BB">
              <w:rPr>
                <w:rFonts w:cs="Calibri"/>
              </w:rPr>
              <w:t xml:space="preserve">by </w:t>
            </w:r>
            <w:r w:rsidR="001C1FB2" w:rsidRPr="00EE39BB">
              <w:rPr>
                <w:rFonts w:cs="Calibri"/>
              </w:rPr>
              <w:t xml:space="preserve">the </w:t>
            </w:r>
            <w:r w:rsidRPr="00EE39BB">
              <w:rPr>
                <w:rFonts w:cs="Calibri"/>
              </w:rPr>
              <w:t xml:space="preserve">number of installations undertaken by an installer, based on notified jobs. </w:t>
            </w:r>
          </w:p>
          <w:p w:rsidR="00E86ABB" w:rsidRPr="0094513F" w:rsidRDefault="00A25D11" w:rsidP="002C16CE">
            <w:pPr>
              <w:numPr>
                <w:ilvl w:val="0"/>
                <w:numId w:val="17"/>
              </w:numPr>
              <w:tabs>
                <w:tab w:val="clear" w:pos="926"/>
                <w:tab w:val="left" w:pos="737"/>
              </w:tabs>
              <w:ind w:left="738" w:hanging="284"/>
              <w:contextualSpacing/>
              <w:rPr>
                <w:rFonts w:cs="Calibri"/>
              </w:rPr>
            </w:pPr>
            <w:r>
              <w:rPr>
                <w:rFonts w:cs="Calibri"/>
              </w:rPr>
              <w:t xml:space="preserve">In principle </w:t>
            </w:r>
            <w:r w:rsidR="00E86ABB" w:rsidRPr="00EE39BB">
              <w:rPr>
                <w:rFonts w:cs="Calibri"/>
              </w:rPr>
              <w:t>a</w:t>
            </w:r>
            <w:r w:rsidR="00E86ABB" w:rsidRPr="0094513F">
              <w:rPr>
                <w:rFonts w:cs="Calibri"/>
              </w:rPr>
              <w:t xml:space="preserve">n </w:t>
            </w:r>
            <w:r w:rsidR="00E86ABB" w:rsidRPr="0094513F">
              <w:rPr>
                <w:rFonts w:cs="Calibri"/>
              </w:rPr>
              <w:t xml:space="preserve">installation will continue to receive </w:t>
            </w:r>
            <w:proofErr w:type="spellStart"/>
            <w:r w:rsidR="00E86ABB" w:rsidRPr="0094513F">
              <w:rPr>
                <w:rFonts w:cs="Calibri"/>
              </w:rPr>
              <w:t>FiT</w:t>
            </w:r>
            <w:proofErr w:type="spellEnd"/>
            <w:r w:rsidR="00E86ABB" w:rsidRPr="0094513F">
              <w:rPr>
                <w:rFonts w:cs="Calibri"/>
              </w:rPr>
              <w:t xml:space="preserve"> payments even if </w:t>
            </w:r>
            <w:r>
              <w:rPr>
                <w:rFonts w:cs="Calibri"/>
              </w:rPr>
              <w:t xml:space="preserve">subsequently </w:t>
            </w:r>
            <w:r w:rsidR="00E86ABB" w:rsidRPr="0094513F">
              <w:rPr>
                <w:rFonts w:cs="Calibri"/>
              </w:rPr>
              <w:t>certification of the product or install</w:t>
            </w:r>
            <w:r>
              <w:rPr>
                <w:rFonts w:cs="Calibri"/>
              </w:rPr>
              <w:t xml:space="preserve">ation company is withdrawn. </w:t>
            </w:r>
            <w:proofErr w:type="gramStart"/>
            <w:r>
              <w:rPr>
                <w:rFonts w:cs="Calibri"/>
              </w:rPr>
              <w:t>DECC  is</w:t>
            </w:r>
            <w:proofErr w:type="gramEnd"/>
            <w:r>
              <w:rPr>
                <w:rFonts w:cs="Calibri"/>
              </w:rPr>
              <w:t xml:space="preserve"> considering how this should be handled where certification is withdrawn for health and safety reasons to do with product. </w:t>
            </w:r>
            <w:r w:rsidR="00E86ABB" w:rsidRPr="0094513F">
              <w:rPr>
                <w:rFonts w:cs="Calibri"/>
              </w:rPr>
              <w:t xml:space="preserve"> </w:t>
            </w:r>
          </w:p>
          <w:p w:rsidR="00E86ABB" w:rsidRPr="0094513F" w:rsidRDefault="00E86ABB" w:rsidP="002C16CE">
            <w:pPr>
              <w:numPr>
                <w:ilvl w:val="0"/>
                <w:numId w:val="17"/>
              </w:numPr>
              <w:tabs>
                <w:tab w:val="clear" w:pos="926"/>
                <w:tab w:val="left" w:pos="737"/>
              </w:tabs>
              <w:ind w:left="738" w:hanging="284"/>
              <w:contextualSpacing/>
              <w:rPr>
                <w:rFonts w:cs="Calibri"/>
              </w:rPr>
            </w:pPr>
            <w:proofErr w:type="spellStart"/>
            <w:r w:rsidRPr="0094513F">
              <w:rPr>
                <w:rFonts w:cs="Calibri"/>
              </w:rPr>
              <w:t>MHed</w:t>
            </w:r>
            <w:proofErr w:type="spellEnd"/>
            <w:r w:rsidRPr="0094513F">
              <w:rPr>
                <w:rFonts w:cs="Calibri"/>
              </w:rPr>
              <w:t xml:space="preserve"> gave an update from the warranties workshop recently held by the Partnership for the Green Deal installer forum.</w:t>
            </w:r>
            <w:r w:rsidR="00C03821" w:rsidRPr="0094513F">
              <w:rPr>
                <w:rFonts w:cs="Calibri"/>
              </w:rPr>
              <w:t xml:space="preserve"> Conclusions were</w:t>
            </w:r>
            <w:r w:rsidRPr="0094513F">
              <w:rPr>
                <w:rFonts w:cs="Calibri"/>
              </w:rPr>
              <w:t xml:space="preserve"> that the consumer relationship is with the GD provider</w:t>
            </w:r>
            <w:r w:rsidR="00CF3F8A" w:rsidRPr="0094513F">
              <w:rPr>
                <w:rFonts w:cs="Calibri"/>
              </w:rPr>
              <w:t xml:space="preserve"> and</w:t>
            </w:r>
            <w:r w:rsidRPr="0094513F">
              <w:rPr>
                <w:rFonts w:cs="Calibri"/>
              </w:rPr>
              <w:t xml:space="preserve"> hence should be the first point of contact</w:t>
            </w:r>
            <w:r w:rsidR="00CF3F8A" w:rsidRPr="0094513F">
              <w:rPr>
                <w:rFonts w:cs="Calibri"/>
              </w:rPr>
              <w:t xml:space="preserve"> regarding warranty issues</w:t>
            </w:r>
            <w:r w:rsidRPr="0094513F">
              <w:rPr>
                <w:rFonts w:cs="Calibri"/>
              </w:rPr>
              <w:t xml:space="preserve">. </w:t>
            </w:r>
            <w:r w:rsidR="00CF3F8A" w:rsidRPr="0094513F">
              <w:rPr>
                <w:rFonts w:cs="Calibri"/>
              </w:rPr>
              <w:t xml:space="preserve"> Any warranty and insurance arrangements should be independent (not self-insurance) to ensure validity in the event of the</w:t>
            </w:r>
            <w:r w:rsidRPr="0094513F">
              <w:rPr>
                <w:rFonts w:cs="Calibri"/>
              </w:rPr>
              <w:t xml:space="preserve"> GD </w:t>
            </w:r>
            <w:r w:rsidR="00CF3F8A" w:rsidRPr="0094513F">
              <w:rPr>
                <w:rFonts w:cs="Calibri"/>
              </w:rPr>
              <w:t xml:space="preserve">provider </w:t>
            </w:r>
            <w:r w:rsidRPr="0094513F">
              <w:rPr>
                <w:rFonts w:cs="Calibri"/>
              </w:rPr>
              <w:t xml:space="preserve">no longer </w:t>
            </w:r>
            <w:r w:rsidR="00CF3F8A" w:rsidRPr="0094513F">
              <w:rPr>
                <w:rFonts w:cs="Calibri"/>
              </w:rPr>
              <w:t xml:space="preserve">being </w:t>
            </w:r>
            <w:r w:rsidRPr="0094513F">
              <w:rPr>
                <w:rFonts w:cs="Calibri"/>
              </w:rPr>
              <w:t>in business</w:t>
            </w:r>
            <w:r w:rsidR="00CF3F8A" w:rsidRPr="0094513F">
              <w:rPr>
                <w:rFonts w:cs="Calibri"/>
              </w:rPr>
              <w:t xml:space="preserve">. </w:t>
            </w:r>
            <w:r w:rsidR="00B24086" w:rsidRPr="0094513F">
              <w:rPr>
                <w:rFonts w:cs="Calibri"/>
              </w:rPr>
              <w:t>Where the life-span of a product is shorter than the payback period of the GD finance, th</w:t>
            </w:r>
            <w:r w:rsidR="00CF3F8A" w:rsidRPr="0094513F">
              <w:rPr>
                <w:rFonts w:cs="Calibri"/>
              </w:rPr>
              <w:t>e</w:t>
            </w:r>
            <w:r w:rsidR="00B24086" w:rsidRPr="0094513F">
              <w:rPr>
                <w:rFonts w:cs="Calibri"/>
              </w:rPr>
              <w:t>n staged repayments could be an option</w:t>
            </w:r>
            <w:r w:rsidR="00CF3F8A" w:rsidRPr="0094513F">
              <w:rPr>
                <w:rFonts w:cs="Calibri"/>
              </w:rPr>
              <w:t xml:space="preserve"> and </w:t>
            </w:r>
            <w:r w:rsidR="006E5EB3" w:rsidRPr="0094513F">
              <w:rPr>
                <w:rFonts w:cs="Calibri"/>
              </w:rPr>
              <w:t xml:space="preserve">shorter-lived products repaid first. </w:t>
            </w:r>
          </w:p>
          <w:p w:rsidR="00C03821" w:rsidRPr="0094513F" w:rsidRDefault="00C03821" w:rsidP="002C16CE">
            <w:pPr>
              <w:numPr>
                <w:ilvl w:val="0"/>
                <w:numId w:val="17"/>
              </w:numPr>
              <w:tabs>
                <w:tab w:val="clear" w:pos="926"/>
                <w:tab w:val="left" w:pos="737"/>
              </w:tabs>
              <w:ind w:left="738" w:hanging="284"/>
              <w:contextualSpacing/>
              <w:rPr>
                <w:rFonts w:cs="Calibri"/>
              </w:rPr>
            </w:pPr>
            <w:r w:rsidRPr="0094513F">
              <w:rPr>
                <w:rFonts w:cs="Calibri"/>
              </w:rPr>
              <w:t xml:space="preserve">There are already insurance options within </w:t>
            </w:r>
            <w:r w:rsidR="00B24086" w:rsidRPr="0094513F">
              <w:rPr>
                <w:rFonts w:cs="Calibri"/>
              </w:rPr>
              <w:t xml:space="preserve">some </w:t>
            </w:r>
            <w:r w:rsidRPr="0094513F">
              <w:rPr>
                <w:rFonts w:cs="Calibri"/>
              </w:rPr>
              <w:t xml:space="preserve">CPSs (6 </w:t>
            </w:r>
            <w:proofErr w:type="spellStart"/>
            <w:r w:rsidRPr="0094513F">
              <w:rPr>
                <w:rFonts w:cs="Calibri"/>
              </w:rPr>
              <w:t>yrs</w:t>
            </w:r>
            <w:proofErr w:type="spellEnd"/>
            <w:r w:rsidRPr="0094513F">
              <w:rPr>
                <w:rFonts w:cs="Calibri"/>
              </w:rPr>
              <w:t xml:space="preserve">). </w:t>
            </w:r>
          </w:p>
          <w:p w:rsidR="00CF3F8A" w:rsidRPr="0094513F" w:rsidRDefault="00CF3F8A" w:rsidP="002C16CE">
            <w:pPr>
              <w:numPr>
                <w:ilvl w:val="0"/>
                <w:numId w:val="17"/>
              </w:numPr>
              <w:tabs>
                <w:tab w:val="clear" w:pos="926"/>
                <w:tab w:val="left" w:pos="737"/>
              </w:tabs>
              <w:ind w:left="738" w:hanging="284"/>
              <w:contextualSpacing/>
              <w:rPr>
                <w:rFonts w:cs="Calibri"/>
              </w:rPr>
            </w:pPr>
            <w:r w:rsidRPr="0094513F">
              <w:rPr>
                <w:rFonts w:cs="Calibri"/>
                <w:b/>
              </w:rPr>
              <w:t xml:space="preserve">Action </w:t>
            </w:r>
            <w:r w:rsidR="00452B95" w:rsidRPr="0094513F">
              <w:rPr>
                <w:rFonts w:cs="Calibri"/>
                <w:b/>
              </w:rPr>
              <w:t>EEPH</w:t>
            </w:r>
            <w:r w:rsidR="00452B95" w:rsidRPr="0094513F">
              <w:rPr>
                <w:rFonts w:cs="Calibri"/>
              </w:rPr>
              <w:t xml:space="preserve"> </w:t>
            </w:r>
            <w:r w:rsidRPr="0094513F">
              <w:rPr>
                <w:rFonts w:cs="Calibri"/>
              </w:rPr>
              <w:t>to stage a workshop</w:t>
            </w:r>
            <w:r w:rsidR="00452B95" w:rsidRPr="0094513F">
              <w:rPr>
                <w:rFonts w:cs="Calibri"/>
              </w:rPr>
              <w:t xml:space="preserve"> on warranty issues</w:t>
            </w:r>
          </w:p>
        </w:tc>
      </w:tr>
      <w:tr w:rsidR="00C02FC3" w:rsidRPr="0094513F" w:rsidTr="0094513F">
        <w:trPr>
          <w:jc w:val="center"/>
        </w:trPr>
        <w:tc>
          <w:tcPr>
            <w:tcW w:w="9299" w:type="dxa"/>
            <w:shd w:val="clear" w:color="auto" w:fill="E6E6E6"/>
            <w:vAlign w:val="center"/>
          </w:tcPr>
          <w:p w:rsidR="00C02FC3" w:rsidRPr="0094513F" w:rsidRDefault="006E5EB3" w:rsidP="002C16CE">
            <w:pPr>
              <w:numPr>
                <w:ilvl w:val="0"/>
                <w:numId w:val="20"/>
              </w:numPr>
              <w:tabs>
                <w:tab w:val="clear" w:pos="360"/>
                <w:tab w:val="left" w:pos="284"/>
              </w:tabs>
              <w:ind w:left="357" w:hanging="357"/>
              <w:contextualSpacing/>
              <w:rPr>
                <w:rFonts w:cs="Calibri"/>
                <w:sz w:val="23"/>
              </w:rPr>
            </w:pPr>
            <w:r w:rsidRPr="0094513F">
              <w:rPr>
                <w:rFonts w:cs="Calibri"/>
                <w:sz w:val="23"/>
              </w:rPr>
              <w:t>Consistency of messaging</w:t>
            </w:r>
          </w:p>
        </w:tc>
      </w:tr>
      <w:tr w:rsidR="00C02FC3" w:rsidRPr="0094513F" w:rsidTr="0094513F">
        <w:trPr>
          <w:jc w:val="center"/>
        </w:trPr>
        <w:tc>
          <w:tcPr>
            <w:tcW w:w="9299" w:type="dxa"/>
          </w:tcPr>
          <w:p w:rsidR="006E5EB3" w:rsidRPr="0094513F" w:rsidRDefault="006E5EB3" w:rsidP="002C16CE">
            <w:pPr>
              <w:numPr>
                <w:ilvl w:val="0"/>
                <w:numId w:val="17"/>
              </w:numPr>
              <w:tabs>
                <w:tab w:val="clear" w:pos="926"/>
                <w:tab w:val="left" w:pos="737"/>
              </w:tabs>
              <w:ind w:left="738" w:hanging="284"/>
              <w:contextualSpacing/>
              <w:rPr>
                <w:rFonts w:cs="Calibri"/>
              </w:rPr>
            </w:pPr>
            <w:r w:rsidRPr="0094513F">
              <w:rPr>
                <w:rFonts w:cs="Calibri"/>
              </w:rPr>
              <w:t xml:space="preserve">The new </w:t>
            </w:r>
            <w:hyperlink r:id="rId9" w:history="1">
              <w:r w:rsidRPr="0094513F">
                <w:rPr>
                  <w:rStyle w:val="Hyperlink"/>
                  <w:rFonts w:cs="Calibri"/>
                </w:rPr>
                <w:t>EST Buyer’s Guide for Renewables</w:t>
              </w:r>
            </w:hyperlink>
            <w:r w:rsidRPr="0094513F">
              <w:rPr>
                <w:rFonts w:cs="Calibri"/>
              </w:rPr>
              <w:t xml:space="preserve"> was reviewed. It was agreed that the overall structure of the document is useful. </w:t>
            </w:r>
          </w:p>
          <w:p w:rsidR="00882302" w:rsidRDefault="00882302" w:rsidP="002C16CE">
            <w:pPr>
              <w:numPr>
                <w:ilvl w:val="0"/>
                <w:numId w:val="17"/>
              </w:numPr>
              <w:tabs>
                <w:tab w:val="clear" w:pos="926"/>
                <w:tab w:val="left" w:pos="737"/>
              </w:tabs>
              <w:ind w:left="738" w:hanging="284"/>
              <w:contextualSpacing/>
              <w:rPr>
                <w:rFonts w:cs="Calibri"/>
              </w:rPr>
            </w:pPr>
            <w:r>
              <w:rPr>
                <w:rFonts w:cs="Calibri"/>
              </w:rPr>
              <w:t xml:space="preserve">As part of the </w:t>
            </w:r>
            <w:proofErr w:type="spellStart"/>
            <w:r>
              <w:rPr>
                <w:rFonts w:cs="Calibri"/>
              </w:rPr>
              <w:t>Microgeneration</w:t>
            </w:r>
            <w:proofErr w:type="spellEnd"/>
            <w:r>
              <w:rPr>
                <w:rFonts w:cs="Calibri"/>
              </w:rPr>
              <w:t xml:space="preserve"> Strategy the industry are required to produce fact sheets for each technology. </w:t>
            </w:r>
            <w:r w:rsidR="00EA36A4">
              <w:rPr>
                <w:rFonts w:cs="Calibri"/>
              </w:rPr>
              <w:t xml:space="preserve">The group agrees that </w:t>
            </w:r>
            <w:r>
              <w:rPr>
                <w:rFonts w:cs="Calibri"/>
              </w:rPr>
              <w:t>the EST buyer’s guide provided a useful start for that work. The group need</w:t>
            </w:r>
            <w:r w:rsidR="00EA36A4">
              <w:rPr>
                <w:rFonts w:cs="Calibri"/>
              </w:rPr>
              <w:t>s</w:t>
            </w:r>
            <w:r>
              <w:rPr>
                <w:rFonts w:cs="Calibri"/>
              </w:rPr>
              <w:t xml:space="preserve"> to consider what further information is required. </w:t>
            </w:r>
          </w:p>
          <w:p w:rsidR="006E5EB3" w:rsidRPr="0094513F" w:rsidRDefault="006E5EB3" w:rsidP="002C16CE">
            <w:pPr>
              <w:numPr>
                <w:ilvl w:val="0"/>
                <w:numId w:val="17"/>
              </w:numPr>
              <w:tabs>
                <w:tab w:val="clear" w:pos="926"/>
                <w:tab w:val="left" w:pos="737"/>
              </w:tabs>
              <w:ind w:left="738" w:hanging="284"/>
              <w:contextualSpacing/>
              <w:rPr>
                <w:rFonts w:cs="Calibri"/>
              </w:rPr>
            </w:pPr>
            <w:r w:rsidRPr="0094513F">
              <w:rPr>
                <w:rFonts w:cs="Calibri"/>
              </w:rPr>
              <w:t xml:space="preserve">Some figures in the brochure are outdated. The group agreed to work with EST on resolving any issues relating to the content of the guide. </w:t>
            </w:r>
          </w:p>
          <w:p w:rsidR="006E5EB3" w:rsidRPr="0094513F" w:rsidRDefault="006E5EB3" w:rsidP="002C16CE">
            <w:pPr>
              <w:numPr>
                <w:ilvl w:val="0"/>
                <w:numId w:val="17"/>
              </w:numPr>
              <w:tabs>
                <w:tab w:val="clear" w:pos="926"/>
                <w:tab w:val="left" w:pos="737"/>
              </w:tabs>
              <w:ind w:left="738" w:hanging="284"/>
              <w:contextualSpacing/>
              <w:rPr>
                <w:rFonts w:cs="Calibri"/>
              </w:rPr>
            </w:pPr>
            <w:r w:rsidRPr="0094513F">
              <w:rPr>
                <w:rFonts w:cs="Calibri"/>
              </w:rPr>
              <w:t xml:space="preserve">There will also be a Green Deal advice leaflet </w:t>
            </w:r>
            <w:r w:rsidR="00CF3F8A" w:rsidRPr="0094513F">
              <w:rPr>
                <w:rFonts w:cs="Calibri"/>
              </w:rPr>
              <w:t xml:space="preserve">that DECC wish to produce. The </w:t>
            </w:r>
            <w:r w:rsidRPr="0094513F">
              <w:rPr>
                <w:rFonts w:cs="Calibri"/>
              </w:rPr>
              <w:t xml:space="preserve">Partnership will be </w:t>
            </w:r>
            <w:r w:rsidR="00CF3F8A" w:rsidRPr="0094513F">
              <w:rPr>
                <w:rFonts w:cs="Calibri"/>
              </w:rPr>
              <w:t>managing this project</w:t>
            </w:r>
            <w:r w:rsidRPr="0094513F">
              <w:rPr>
                <w:rFonts w:cs="Calibri"/>
              </w:rPr>
              <w:t xml:space="preserve">. </w:t>
            </w:r>
            <w:r w:rsidR="00887203" w:rsidRPr="0094513F">
              <w:rPr>
                <w:rFonts w:cs="Calibri"/>
              </w:rPr>
              <w:t xml:space="preserve">A </w:t>
            </w:r>
            <w:r w:rsidRPr="0094513F">
              <w:rPr>
                <w:rFonts w:cs="Calibri"/>
              </w:rPr>
              <w:t>guide should provide information on the customer journey and include details of MCS and REAL.</w:t>
            </w:r>
          </w:p>
          <w:p w:rsidR="006E5EB3" w:rsidRPr="0094513F" w:rsidRDefault="006E5EB3" w:rsidP="002C16CE">
            <w:pPr>
              <w:numPr>
                <w:ilvl w:val="0"/>
                <w:numId w:val="17"/>
              </w:numPr>
              <w:tabs>
                <w:tab w:val="clear" w:pos="926"/>
                <w:tab w:val="left" w:pos="737"/>
              </w:tabs>
              <w:ind w:left="738" w:hanging="284"/>
              <w:contextualSpacing/>
              <w:rPr>
                <w:rFonts w:cs="Calibri"/>
              </w:rPr>
            </w:pPr>
            <w:r w:rsidRPr="0094513F">
              <w:rPr>
                <w:rFonts w:cs="Calibri"/>
              </w:rPr>
              <w:t xml:space="preserve">The </w:t>
            </w:r>
            <w:r w:rsidR="00887203" w:rsidRPr="0094513F">
              <w:rPr>
                <w:rFonts w:cs="Calibri"/>
              </w:rPr>
              <w:t xml:space="preserve">EST </w:t>
            </w:r>
            <w:r w:rsidRPr="0094513F">
              <w:rPr>
                <w:rFonts w:cs="Calibri"/>
              </w:rPr>
              <w:t xml:space="preserve">guide </w:t>
            </w:r>
            <w:r w:rsidR="008E679F" w:rsidRPr="0094513F">
              <w:rPr>
                <w:rFonts w:cs="Calibri"/>
              </w:rPr>
              <w:t>looks at renewables in isolation. It should be mentioned how these systems can integrate with conventional heating systems or energy efficiency measures.</w:t>
            </w:r>
          </w:p>
          <w:p w:rsidR="00C02FC3" w:rsidRPr="0094513F" w:rsidRDefault="008E679F" w:rsidP="002C16CE">
            <w:pPr>
              <w:numPr>
                <w:ilvl w:val="0"/>
                <w:numId w:val="17"/>
              </w:numPr>
              <w:tabs>
                <w:tab w:val="clear" w:pos="926"/>
                <w:tab w:val="left" w:pos="737"/>
              </w:tabs>
              <w:ind w:left="738" w:hanging="284"/>
              <w:contextualSpacing/>
              <w:rPr>
                <w:rFonts w:cs="Calibri"/>
              </w:rPr>
            </w:pPr>
            <w:r w:rsidRPr="0094513F">
              <w:rPr>
                <w:rFonts w:cs="Calibri"/>
                <w:b/>
              </w:rPr>
              <w:t>Action ALL</w:t>
            </w:r>
            <w:r w:rsidRPr="0094513F">
              <w:rPr>
                <w:rFonts w:cs="Calibri"/>
              </w:rPr>
              <w:t xml:space="preserve"> to send evidence-backed comments to </w:t>
            </w:r>
            <w:proofErr w:type="spellStart"/>
            <w:r w:rsidRPr="0094513F">
              <w:rPr>
                <w:rFonts w:cs="Calibri"/>
              </w:rPr>
              <w:t>MHes</w:t>
            </w:r>
            <w:proofErr w:type="spellEnd"/>
            <w:r w:rsidRPr="0094513F">
              <w:rPr>
                <w:rFonts w:cs="Calibri"/>
              </w:rPr>
              <w:t xml:space="preserve"> for collation and submission to EST.</w:t>
            </w:r>
          </w:p>
          <w:p w:rsidR="000F3755" w:rsidRPr="0094513F" w:rsidRDefault="000F3755" w:rsidP="002C16CE">
            <w:pPr>
              <w:numPr>
                <w:ilvl w:val="0"/>
                <w:numId w:val="17"/>
              </w:numPr>
              <w:tabs>
                <w:tab w:val="clear" w:pos="926"/>
                <w:tab w:val="left" w:pos="737"/>
              </w:tabs>
              <w:ind w:left="738" w:hanging="284"/>
              <w:contextualSpacing/>
              <w:rPr>
                <w:rFonts w:cs="Calibri"/>
              </w:rPr>
            </w:pPr>
            <w:r w:rsidRPr="0094513F">
              <w:rPr>
                <w:rFonts w:cs="Calibri"/>
              </w:rPr>
              <w:t xml:space="preserve">Firstly, there needs to be a redress mechanism, </w:t>
            </w:r>
            <w:proofErr w:type="gramStart"/>
            <w:r w:rsidRPr="0094513F">
              <w:rPr>
                <w:rFonts w:cs="Calibri"/>
              </w:rPr>
              <w:t>then</w:t>
            </w:r>
            <w:proofErr w:type="gramEnd"/>
            <w:r w:rsidRPr="0094513F">
              <w:rPr>
                <w:rFonts w:cs="Calibri"/>
              </w:rPr>
              <w:t xml:space="preserve"> the messaging can be developed for it. </w:t>
            </w:r>
          </w:p>
          <w:p w:rsidR="00D6123B" w:rsidRPr="0094513F" w:rsidRDefault="000F3755" w:rsidP="002C16CE">
            <w:pPr>
              <w:numPr>
                <w:ilvl w:val="0"/>
                <w:numId w:val="17"/>
              </w:numPr>
              <w:tabs>
                <w:tab w:val="clear" w:pos="926"/>
                <w:tab w:val="left" w:pos="737"/>
              </w:tabs>
              <w:ind w:left="738" w:hanging="284"/>
              <w:contextualSpacing/>
              <w:rPr>
                <w:rFonts w:cs="Calibri"/>
              </w:rPr>
            </w:pPr>
            <w:r w:rsidRPr="0094513F">
              <w:rPr>
                <w:rFonts w:cs="Calibri"/>
              </w:rPr>
              <w:t>Installers and independen</w:t>
            </w:r>
            <w:bookmarkStart w:id="1" w:name="_GoBack"/>
            <w:bookmarkEnd w:id="1"/>
            <w:r w:rsidRPr="0094513F">
              <w:rPr>
                <w:rFonts w:cs="Calibri"/>
              </w:rPr>
              <w:t>t assessors</w:t>
            </w:r>
            <w:r w:rsidR="00690B2E" w:rsidRPr="0094513F">
              <w:rPr>
                <w:rFonts w:cs="Calibri"/>
              </w:rPr>
              <w:t xml:space="preserve"> </w:t>
            </w:r>
            <w:r w:rsidR="00D6123B" w:rsidRPr="0094513F">
              <w:rPr>
                <w:rFonts w:cs="Calibri"/>
              </w:rPr>
              <w:t xml:space="preserve">also </w:t>
            </w:r>
            <w:r w:rsidR="00690B2E" w:rsidRPr="0094513F">
              <w:rPr>
                <w:rFonts w:cs="Calibri"/>
              </w:rPr>
              <w:t xml:space="preserve">need to be </w:t>
            </w:r>
            <w:r w:rsidR="00D6123B" w:rsidRPr="0094513F">
              <w:rPr>
                <w:rFonts w:cs="Calibri"/>
              </w:rPr>
              <w:t>educated on consistent messaging.</w:t>
            </w:r>
          </w:p>
          <w:p w:rsidR="000F3755" w:rsidRPr="0094513F" w:rsidRDefault="00D6123B" w:rsidP="002C16CE">
            <w:pPr>
              <w:numPr>
                <w:ilvl w:val="0"/>
                <w:numId w:val="17"/>
              </w:numPr>
              <w:tabs>
                <w:tab w:val="clear" w:pos="926"/>
                <w:tab w:val="left" w:pos="737"/>
              </w:tabs>
              <w:ind w:left="738" w:hanging="284"/>
              <w:contextualSpacing/>
              <w:rPr>
                <w:rFonts w:cs="Calibri"/>
              </w:rPr>
            </w:pPr>
            <w:r w:rsidRPr="0094513F">
              <w:rPr>
                <w:rFonts w:cs="Calibri"/>
              </w:rPr>
              <w:t>A</w:t>
            </w:r>
            <w:r w:rsidR="00B536DB" w:rsidRPr="0094513F">
              <w:rPr>
                <w:rFonts w:cs="Calibri"/>
              </w:rPr>
              <w:t xml:space="preserve">lthough </w:t>
            </w:r>
            <w:r w:rsidR="000F3755" w:rsidRPr="0094513F">
              <w:rPr>
                <w:rFonts w:cs="Calibri"/>
              </w:rPr>
              <w:t xml:space="preserve">insulation and energy efficiency measures will take priority over </w:t>
            </w:r>
            <w:proofErr w:type="spellStart"/>
            <w:r w:rsidR="000F3755" w:rsidRPr="0094513F">
              <w:rPr>
                <w:rFonts w:cs="Calibri"/>
              </w:rPr>
              <w:t>microgeneration</w:t>
            </w:r>
            <w:proofErr w:type="spellEnd"/>
            <w:r w:rsidR="00B536DB" w:rsidRPr="0094513F">
              <w:rPr>
                <w:rFonts w:cs="Calibri"/>
              </w:rPr>
              <w:t xml:space="preserve"> within Green Deal</w:t>
            </w:r>
            <w:r w:rsidR="000F3755" w:rsidRPr="0094513F">
              <w:rPr>
                <w:rFonts w:cs="Calibri"/>
              </w:rPr>
              <w:t xml:space="preserve">, </w:t>
            </w:r>
            <w:proofErr w:type="spellStart"/>
            <w:r w:rsidR="000F3755" w:rsidRPr="0094513F">
              <w:rPr>
                <w:rFonts w:cs="Calibri"/>
              </w:rPr>
              <w:t>FiTs</w:t>
            </w:r>
            <w:proofErr w:type="spellEnd"/>
            <w:r w:rsidR="000F3755" w:rsidRPr="0094513F">
              <w:rPr>
                <w:rFonts w:cs="Calibri"/>
              </w:rPr>
              <w:t xml:space="preserve">/RHI could help render a </w:t>
            </w:r>
            <w:r w:rsidR="00B7268F" w:rsidRPr="0094513F">
              <w:rPr>
                <w:rFonts w:cs="Calibri"/>
              </w:rPr>
              <w:t>GD package viable under the golden rule</w:t>
            </w:r>
            <w:r w:rsidR="00B536DB" w:rsidRPr="0094513F">
              <w:rPr>
                <w:rFonts w:cs="Calibri"/>
              </w:rPr>
              <w:t xml:space="preserve">. </w:t>
            </w:r>
            <w:r w:rsidR="00B7268F" w:rsidRPr="0094513F">
              <w:rPr>
                <w:rFonts w:cs="Calibri"/>
              </w:rPr>
              <w:t xml:space="preserve"> </w:t>
            </w:r>
            <w:proofErr w:type="spellStart"/>
            <w:r w:rsidR="00B536DB" w:rsidRPr="0094513F">
              <w:rPr>
                <w:rFonts w:cs="Calibri"/>
              </w:rPr>
              <w:t>M</w:t>
            </w:r>
            <w:r w:rsidR="00B7268F" w:rsidRPr="0094513F">
              <w:rPr>
                <w:rFonts w:cs="Calibri"/>
              </w:rPr>
              <w:t>icrogen</w:t>
            </w:r>
            <w:proofErr w:type="spellEnd"/>
            <w:r w:rsidR="00B7268F" w:rsidRPr="0094513F">
              <w:rPr>
                <w:rFonts w:cs="Calibri"/>
              </w:rPr>
              <w:t xml:space="preserve"> </w:t>
            </w:r>
            <w:r w:rsidR="00B536DB" w:rsidRPr="0094513F">
              <w:rPr>
                <w:rFonts w:cs="Calibri"/>
              </w:rPr>
              <w:t>can</w:t>
            </w:r>
            <w:r w:rsidR="00B7268F" w:rsidRPr="0094513F">
              <w:rPr>
                <w:rFonts w:cs="Calibri"/>
              </w:rPr>
              <w:t xml:space="preserve"> play a key role in GD. </w:t>
            </w:r>
          </w:p>
          <w:p w:rsidR="00B7268F" w:rsidRPr="0094513F" w:rsidRDefault="00B7268F" w:rsidP="002C16CE">
            <w:pPr>
              <w:numPr>
                <w:ilvl w:val="0"/>
                <w:numId w:val="17"/>
              </w:numPr>
              <w:tabs>
                <w:tab w:val="clear" w:pos="926"/>
                <w:tab w:val="left" w:pos="737"/>
              </w:tabs>
              <w:ind w:left="738" w:hanging="284"/>
              <w:contextualSpacing/>
              <w:rPr>
                <w:rFonts w:cs="Calibri"/>
              </w:rPr>
            </w:pPr>
            <w:r w:rsidRPr="0094513F">
              <w:rPr>
                <w:rFonts w:cs="Calibri"/>
              </w:rPr>
              <w:lastRenderedPageBreak/>
              <w:t>Consistent messaging should also include comparable figures (e.g. Watts saved per m</w:t>
            </w:r>
            <w:r w:rsidRPr="0094513F">
              <w:rPr>
                <w:rFonts w:cs="Calibri"/>
                <w:lang w:val="de-DE"/>
              </w:rPr>
              <w:t>²</w:t>
            </w:r>
            <w:r w:rsidRPr="0094513F">
              <w:rPr>
                <w:rFonts w:cs="Calibri"/>
              </w:rPr>
              <w:t xml:space="preserve">) for insulation, heating and renewables. The revised </w:t>
            </w:r>
            <w:hyperlink r:id="rId10" w:history="1">
              <w:r w:rsidRPr="0094513F">
                <w:rPr>
                  <w:rStyle w:val="Hyperlink"/>
                  <w:rFonts w:cs="Calibri"/>
                </w:rPr>
                <w:t>MIS 3005</w:t>
              </w:r>
            </w:hyperlink>
            <w:r w:rsidRPr="0094513F">
              <w:rPr>
                <w:rFonts w:cs="Calibri"/>
              </w:rPr>
              <w:t xml:space="preserve"> for heat pumps or 3002 for PV (soon to follow) are beginning to address this need.</w:t>
            </w:r>
          </w:p>
          <w:p w:rsidR="00690B2E" w:rsidRPr="0094513F" w:rsidRDefault="00690B2E" w:rsidP="002C16CE">
            <w:pPr>
              <w:numPr>
                <w:ilvl w:val="0"/>
                <w:numId w:val="17"/>
              </w:numPr>
              <w:tabs>
                <w:tab w:val="clear" w:pos="926"/>
                <w:tab w:val="left" w:pos="737"/>
              </w:tabs>
              <w:ind w:left="738" w:hanging="284"/>
              <w:contextualSpacing/>
              <w:rPr>
                <w:rFonts w:cs="Calibri"/>
              </w:rPr>
            </w:pPr>
            <w:r w:rsidRPr="0094513F">
              <w:rPr>
                <w:rFonts w:cs="Calibri"/>
              </w:rPr>
              <w:t xml:space="preserve">MB proposed for the Partnership to hold a workshop on messaging and focus on the needs of consumers (rather than requirements by technology). This to involve a wide group of stakeholders and reference DECC’s plans for messaging </w:t>
            </w:r>
            <w:proofErr w:type="gramStart"/>
            <w:r w:rsidRPr="0094513F">
              <w:rPr>
                <w:rFonts w:cs="Calibri"/>
              </w:rPr>
              <w:t>on  Green</w:t>
            </w:r>
            <w:proofErr w:type="gramEnd"/>
            <w:r w:rsidRPr="0094513F">
              <w:rPr>
                <w:rFonts w:cs="Calibri"/>
              </w:rPr>
              <w:t xml:space="preserve"> Deal. </w:t>
            </w:r>
            <w:r w:rsidRPr="0094513F">
              <w:rPr>
                <w:rFonts w:cs="Calibri"/>
                <w:b/>
              </w:rPr>
              <w:t>Action: EEPH</w:t>
            </w:r>
            <w:r w:rsidRPr="0094513F">
              <w:rPr>
                <w:rFonts w:cs="Calibri"/>
              </w:rPr>
              <w:t xml:space="preserve"> to arrange a workshop on messaging</w:t>
            </w:r>
          </w:p>
        </w:tc>
      </w:tr>
      <w:tr w:rsidR="00C02FC3" w:rsidRPr="0094513F" w:rsidTr="0094513F">
        <w:trPr>
          <w:jc w:val="center"/>
        </w:trPr>
        <w:tc>
          <w:tcPr>
            <w:tcW w:w="9299" w:type="dxa"/>
            <w:shd w:val="clear" w:color="auto" w:fill="E6E6E6"/>
            <w:vAlign w:val="center"/>
          </w:tcPr>
          <w:p w:rsidR="00C02FC3" w:rsidRPr="0094513F" w:rsidRDefault="008E679F" w:rsidP="002C16CE">
            <w:pPr>
              <w:numPr>
                <w:ilvl w:val="0"/>
                <w:numId w:val="20"/>
              </w:numPr>
              <w:tabs>
                <w:tab w:val="clear" w:pos="360"/>
                <w:tab w:val="left" w:pos="284"/>
              </w:tabs>
              <w:ind w:left="357" w:hanging="357"/>
              <w:contextualSpacing/>
              <w:rPr>
                <w:rFonts w:cs="Calibri"/>
                <w:sz w:val="23"/>
              </w:rPr>
            </w:pPr>
            <w:r w:rsidRPr="0094513F">
              <w:rPr>
                <w:rFonts w:cs="Calibri"/>
                <w:sz w:val="23"/>
              </w:rPr>
              <w:lastRenderedPageBreak/>
              <w:t>SAP</w:t>
            </w:r>
          </w:p>
        </w:tc>
      </w:tr>
      <w:tr w:rsidR="00C02FC3" w:rsidRPr="0094513F" w:rsidTr="0094513F">
        <w:trPr>
          <w:jc w:val="center"/>
        </w:trPr>
        <w:tc>
          <w:tcPr>
            <w:tcW w:w="9299" w:type="dxa"/>
          </w:tcPr>
          <w:p w:rsidR="00E8619E" w:rsidRPr="00882302" w:rsidRDefault="008E679F" w:rsidP="002C16CE">
            <w:pPr>
              <w:numPr>
                <w:ilvl w:val="0"/>
                <w:numId w:val="17"/>
              </w:numPr>
              <w:tabs>
                <w:tab w:val="clear" w:pos="926"/>
                <w:tab w:val="left" w:pos="737"/>
              </w:tabs>
              <w:ind w:left="738" w:hanging="284"/>
              <w:contextualSpacing/>
              <w:rPr>
                <w:rFonts w:cs="Calibri"/>
              </w:rPr>
            </w:pPr>
            <w:r w:rsidRPr="0094513F">
              <w:rPr>
                <w:rFonts w:cs="Calibri"/>
              </w:rPr>
              <w:t xml:space="preserve">Some issues raised by members involved in this </w:t>
            </w:r>
            <w:proofErr w:type="spellStart"/>
            <w:r w:rsidRPr="0094513F">
              <w:rPr>
                <w:rFonts w:cs="Calibri"/>
              </w:rPr>
              <w:t>workstream</w:t>
            </w:r>
            <w:proofErr w:type="spellEnd"/>
            <w:r w:rsidRPr="0094513F">
              <w:rPr>
                <w:rFonts w:cs="Calibri"/>
              </w:rPr>
              <w:t xml:space="preserve"> seem not to have been picked up in the snag list. </w:t>
            </w:r>
            <w:r w:rsidR="00E8619E" w:rsidRPr="00882302">
              <w:rPr>
                <w:rFonts w:cs="Calibri"/>
              </w:rPr>
              <w:t xml:space="preserve">DM presented a new </w:t>
            </w:r>
            <w:hyperlink r:id="rId11" w:history="1">
              <w:r w:rsidR="00E8619E" w:rsidRPr="0094513F">
                <w:rPr>
                  <w:rStyle w:val="Hyperlink"/>
                  <w:rFonts w:cs="Calibri"/>
                </w:rPr>
                <w:t>Heat Emitter Guide for Domestic Heat Pumps</w:t>
              </w:r>
            </w:hyperlink>
            <w:r w:rsidR="00E8619E" w:rsidRPr="0094513F">
              <w:rPr>
                <w:rFonts w:cs="Calibri"/>
              </w:rPr>
              <w:t xml:space="preserve"> which relates COPs to flow temperature and heat losses. This deg</w:t>
            </w:r>
            <w:r w:rsidR="00E8619E" w:rsidRPr="00882302">
              <w:rPr>
                <w:rFonts w:cs="Calibri"/>
              </w:rPr>
              <w:t>ree of flexibility should be included in S</w:t>
            </w:r>
            <w:r w:rsidR="00E8619E" w:rsidRPr="0094513F">
              <w:rPr>
                <w:rFonts w:cs="Calibri"/>
              </w:rPr>
              <w:t>A</w:t>
            </w:r>
            <w:r w:rsidR="00E8619E" w:rsidRPr="00882302">
              <w:rPr>
                <w:rFonts w:cs="Calibri"/>
              </w:rPr>
              <w:t xml:space="preserve">P. </w:t>
            </w:r>
          </w:p>
          <w:p w:rsidR="00E8619E" w:rsidRPr="0094513F" w:rsidRDefault="00E8619E" w:rsidP="002C16CE">
            <w:pPr>
              <w:numPr>
                <w:ilvl w:val="0"/>
                <w:numId w:val="17"/>
              </w:numPr>
              <w:tabs>
                <w:tab w:val="clear" w:pos="926"/>
                <w:tab w:val="left" w:pos="737"/>
              </w:tabs>
              <w:ind w:left="738" w:hanging="284"/>
              <w:contextualSpacing/>
              <w:rPr>
                <w:rFonts w:cs="Calibri"/>
              </w:rPr>
            </w:pPr>
            <w:r w:rsidRPr="00882302">
              <w:rPr>
                <w:rFonts w:cs="Calibri"/>
                <w:b/>
              </w:rPr>
              <w:t>Action ALL</w:t>
            </w:r>
            <w:r w:rsidRPr="00882302">
              <w:rPr>
                <w:rFonts w:cs="Calibri"/>
              </w:rPr>
              <w:t xml:space="preserve"> </w:t>
            </w:r>
            <w:r w:rsidR="00E65878" w:rsidRPr="00882302">
              <w:rPr>
                <w:rFonts w:cs="Calibri"/>
              </w:rPr>
              <w:t xml:space="preserve">to raise any points that haven’t been covered with </w:t>
            </w:r>
            <w:proofErr w:type="spellStart"/>
            <w:r w:rsidR="00E65878" w:rsidRPr="00882302">
              <w:rPr>
                <w:rFonts w:cs="Calibri"/>
              </w:rPr>
              <w:t>MHes</w:t>
            </w:r>
            <w:proofErr w:type="spellEnd"/>
            <w:r w:rsidR="00E65878" w:rsidRPr="00882302">
              <w:rPr>
                <w:rFonts w:cs="Calibri"/>
              </w:rPr>
              <w:t xml:space="preserve"> for forwarding to Alan Christie directly.</w:t>
            </w:r>
          </w:p>
          <w:p w:rsidR="00E65878" w:rsidRPr="0094513F" w:rsidRDefault="00E65878" w:rsidP="00EA36A4">
            <w:pPr>
              <w:numPr>
                <w:ilvl w:val="0"/>
                <w:numId w:val="17"/>
              </w:numPr>
              <w:tabs>
                <w:tab w:val="clear" w:pos="926"/>
                <w:tab w:val="left" w:pos="737"/>
              </w:tabs>
              <w:ind w:left="738" w:hanging="284"/>
              <w:contextualSpacing/>
              <w:rPr>
                <w:rFonts w:cs="Calibri"/>
              </w:rPr>
            </w:pPr>
            <w:r w:rsidRPr="0094513F">
              <w:rPr>
                <w:rFonts w:cs="Calibri"/>
              </w:rPr>
              <w:t>Recommendations are currently being collated by MPC</w:t>
            </w:r>
            <w:r w:rsidR="005101AC" w:rsidRPr="0094513F">
              <w:rPr>
                <w:rFonts w:cs="Calibri"/>
              </w:rPr>
              <w:t>. I</w:t>
            </w:r>
            <w:r w:rsidRPr="0094513F">
              <w:rPr>
                <w:rFonts w:cs="Calibri"/>
              </w:rPr>
              <w:t xml:space="preserve">t might be too late to feed these into </w:t>
            </w:r>
            <w:r w:rsidRPr="0094513F">
              <w:rPr>
                <w:rFonts w:cs="Calibri"/>
              </w:rPr>
              <w:t xml:space="preserve">the drafting of the SAP consultation document </w:t>
            </w:r>
            <w:r w:rsidR="00D6123B" w:rsidRPr="0094513F">
              <w:rPr>
                <w:rFonts w:cs="Calibri"/>
              </w:rPr>
              <w:t>but outstanding issues</w:t>
            </w:r>
            <w:r w:rsidR="005101AC" w:rsidRPr="0094513F">
              <w:rPr>
                <w:rFonts w:cs="Calibri"/>
              </w:rPr>
              <w:t xml:space="preserve"> should </w:t>
            </w:r>
            <w:r w:rsidRPr="0094513F">
              <w:rPr>
                <w:rFonts w:cs="Calibri"/>
              </w:rPr>
              <w:t xml:space="preserve">be fed into the </w:t>
            </w:r>
            <w:r w:rsidR="00882302">
              <w:rPr>
                <w:rFonts w:cs="Calibri"/>
              </w:rPr>
              <w:t xml:space="preserve">group’s response to the </w:t>
            </w:r>
            <w:r w:rsidRPr="0094513F">
              <w:rPr>
                <w:rFonts w:cs="Calibri"/>
              </w:rPr>
              <w:t>consultation</w:t>
            </w:r>
            <w:r w:rsidR="00882302">
              <w:rPr>
                <w:rFonts w:cs="Calibri"/>
              </w:rPr>
              <w:t xml:space="preserve">. </w:t>
            </w:r>
            <w:r w:rsidRPr="0094513F">
              <w:rPr>
                <w:rFonts w:cs="Calibri"/>
              </w:rPr>
              <w:t xml:space="preserve"> </w:t>
            </w:r>
          </w:p>
        </w:tc>
      </w:tr>
      <w:tr w:rsidR="00E65878" w:rsidRPr="0094513F" w:rsidTr="0094513F">
        <w:trPr>
          <w:jc w:val="center"/>
        </w:trPr>
        <w:tc>
          <w:tcPr>
            <w:tcW w:w="9299" w:type="dxa"/>
            <w:shd w:val="clear" w:color="auto" w:fill="E6E6E6"/>
            <w:vAlign w:val="center"/>
          </w:tcPr>
          <w:p w:rsidR="00E65878" w:rsidRPr="0094513F" w:rsidRDefault="00E65878" w:rsidP="002C16CE">
            <w:pPr>
              <w:numPr>
                <w:ilvl w:val="0"/>
                <w:numId w:val="20"/>
              </w:numPr>
              <w:tabs>
                <w:tab w:val="clear" w:pos="360"/>
                <w:tab w:val="left" w:pos="284"/>
              </w:tabs>
              <w:ind w:left="357" w:hanging="357"/>
              <w:contextualSpacing/>
              <w:rPr>
                <w:rFonts w:cs="Calibri"/>
                <w:sz w:val="23"/>
              </w:rPr>
            </w:pPr>
            <w:r w:rsidRPr="0094513F">
              <w:rPr>
                <w:rFonts w:cs="Calibri"/>
                <w:sz w:val="23"/>
              </w:rPr>
              <w:t>PAS 2030 (“the Green Deal PAS”)</w:t>
            </w:r>
          </w:p>
        </w:tc>
      </w:tr>
      <w:tr w:rsidR="00E65878" w:rsidRPr="0094513F" w:rsidTr="0094513F">
        <w:trPr>
          <w:jc w:val="center"/>
        </w:trPr>
        <w:tc>
          <w:tcPr>
            <w:tcW w:w="9299" w:type="dxa"/>
          </w:tcPr>
          <w:p w:rsidR="00E65878" w:rsidRPr="0094513F" w:rsidRDefault="00E65878" w:rsidP="002C16CE">
            <w:pPr>
              <w:numPr>
                <w:ilvl w:val="0"/>
                <w:numId w:val="17"/>
              </w:numPr>
              <w:tabs>
                <w:tab w:val="clear" w:pos="926"/>
                <w:tab w:val="left" w:pos="737"/>
              </w:tabs>
              <w:ind w:left="738" w:hanging="284"/>
              <w:contextualSpacing/>
              <w:rPr>
                <w:rFonts w:cs="Calibri"/>
              </w:rPr>
            </w:pPr>
            <w:r w:rsidRPr="0094513F">
              <w:rPr>
                <w:rFonts w:cs="Calibri"/>
              </w:rPr>
              <w:t xml:space="preserve">The PAS is now out for consultation on the </w:t>
            </w:r>
            <w:hyperlink r:id="rId12" w:history="1">
              <w:r w:rsidRPr="0094513F">
                <w:rPr>
                  <w:rStyle w:val="Hyperlink"/>
                  <w:rFonts w:cs="Calibri"/>
                </w:rPr>
                <w:t>BSI website</w:t>
              </w:r>
            </w:hyperlink>
            <w:r w:rsidR="00F9551D" w:rsidRPr="0094513F">
              <w:rPr>
                <w:rFonts w:cs="Calibri"/>
              </w:rPr>
              <w:t xml:space="preserve"> until 24 October.</w:t>
            </w:r>
            <w:r w:rsidRPr="0094513F">
              <w:rPr>
                <w:rFonts w:cs="Calibri"/>
              </w:rPr>
              <w:t xml:space="preserve"> In the annexes covering </w:t>
            </w:r>
            <w:proofErr w:type="spellStart"/>
            <w:r w:rsidRPr="0094513F">
              <w:rPr>
                <w:rFonts w:cs="Calibri"/>
              </w:rPr>
              <w:t>microgeneration</w:t>
            </w:r>
            <w:proofErr w:type="spellEnd"/>
            <w:r w:rsidRPr="0094513F">
              <w:rPr>
                <w:rFonts w:cs="Calibri"/>
              </w:rPr>
              <w:t xml:space="preserve">, minimum technical competency and NOS documents are referenced. </w:t>
            </w:r>
          </w:p>
          <w:p w:rsidR="00E65878" w:rsidRPr="0094513F" w:rsidRDefault="00E65878" w:rsidP="002C16CE">
            <w:pPr>
              <w:numPr>
                <w:ilvl w:val="0"/>
                <w:numId w:val="17"/>
              </w:numPr>
              <w:tabs>
                <w:tab w:val="clear" w:pos="926"/>
                <w:tab w:val="left" w:pos="737"/>
              </w:tabs>
              <w:ind w:left="738" w:hanging="284"/>
              <w:contextualSpacing/>
              <w:rPr>
                <w:rFonts w:cs="Calibri"/>
              </w:rPr>
            </w:pPr>
            <w:r w:rsidRPr="0094513F">
              <w:rPr>
                <w:rFonts w:cs="Calibri"/>
              </w:rPr>
              <w:t xml:space="preserve">Concern was raised about </w:t>
            </w:r>
            <w:r w:rsidR="00F9551D" w:rsidRPr="0094513F">
              <w:rPr>
                <w:rFonts w:cs="Calibri"/>
              </w:rPr>
              <w:t xml:space="preserve">the fact that these documents are only referenced, but not provided with the PAS, and more widely about </w:t>
            </w:r>
            <w:r w:rsidRPr="0094513F">
              <w:rPr>
                <w:rFonts w:cs="Calibri"/>
              </w:rPr>
              <w:t>the suitability of these document</w:t>
            </w:r>
            <w:r w:rsidR="00F9551D" w:rsidRPr="0094513F">
              <w:rPr>
                <w:rFonts w:cs="Calibri"/>
              </w:rPr>
              <w:t>s</w:t>
            </w:r>
            <w:r w:rsidRPr="0094513F">
              <w:rPr>
                <w:rFonts w:cs="Calibri"/>
              </w:rPr>
              <w:t xml:space="preserve"> to specify the relevant competencies</w:t>
            </w:r>
            <w:r w:rsidR="00F9551D" w:rsidRPr="0094513F">
              <w:rPr>
                <w:rFonts w:cs="Calibri"/>
              </w:rPr>
              <w:t>, as some of them are only in draft stage.</w:t>
            </w:r>
            <w:r w:rsidR="00175D57" w:rsidRPr="0094513F">
              <w:rPr>
                <w:rFonts w:cs="Calibri"/>
              </w:rPr>
              <w:t xml:space="preserve"> </w:t>
            </w:r>
          </w:p>
          <w:p w:rsidR="00175D57" w:rsidRPr="0094513F" w:rsidRDefault="00175D57" w:rsidP="002C16CE">
            <w:pPr>
              <w:numPr>
                <w:ilvl w:val="0"/>
                <w:numId w:val="17"/>
              </w:numPr>
              <w:tabs>
                <w:tab w:val="clear" w:pos="926"/>
                <w:tab w:val="left" w:pos="737"/>
              </w:tabs>
              <w:ind w:left="738" w:hanging="284"/>
              <w:contextualSpacing/>
              <w:rPr>
                <w:rFonts w:cs="Calibri"/>
              </w:rPr>
            </w:pPr>
            <w:r w:rsidRPr="0094513F">
              <w:rPr>
                <w:rFonts w:cs="Calibri"/>
              </w:rPr>
              <w:t xml:space="preserve">There is an action on NH/GR to include NOS/QCF in Appendix A (of MCS 001). However rather than just being a list of QCF courses, competence can also be demonstrated e.g. through experience and assessment. </w:t>
            </w:r>
          </w:p>
          <w:p w:rsidR="00175D57" w:rsidRPr="0094513F" w:rsidRDefault="00175D57" w:rsidP="002C16CE">
            <w:pPr>
              <w:numPr>
                <w:ilvl w:val="0"/>
                <w:numId w:val="17"/>
              </w:numPr>
              <w:tabs>
                <w:tab w:val="clear" w:pos="926"/>
                <w:tab w:val="left" w:pos="737"/>
              </w:tabs>
              <w:ind w:left="738" w:hanging="284"/>
              <w:contextualSpacing/>
              <w:rPr>
                <w:rFonts w:cs="Calibri"/>
              </w:rPr>
            </w:pPr>
            <w:r w:rsidRPr="0094513F">
              <w:rPr>
                <w:rFonts w:cs="Calibri"/>
              </w:rPr>
              <w:t>Views from the group were sought as to how competency requirements should be included in the MCS scheme rules in a staged approach</w:t>
            </w:r>
            <w:r w:rsidR="000A2A04" w:rsidRPr="0094513F">
              <w:rPr>
                <w:rFonts w:cs="Calibri"/>
              </w:rPr>
              <w:t>, and the time limits. Time needs to be allowed to train and assess installers</w:t>
            </w:r>
            <w:r w:rsidRPr="0094513F">
              <w:rPr>
                <w:rFonts w:cs="Calibri"/>
              </w:rPr>
              <w:t xml:space="preserve">. </w:t>
            </w:r>
            <w:r w:rsidR="000A2A04" w:rsidRPr="0094513F">
              <w:rPr>
                <w:rFonts w:cs="Calibri"/>
                <w:b/>
              </w:rPr>
              <w:t>Action NH and GR</w:t>
            </w:r>
            <w:r w:rsidR="000A2A04" w:rsidRPr="0094513F">
              <w:rPr>
                <w:rFonts w:cs="Calibri"/>
              </w:rPr>
              <w:t xml:space="preserve"> to draft a paper on this for distribution. </w:t>
            </w:r>
            <w:r w:rsidR="005101AC" w:rsidRPr="0094513F">
              <w:rPr>
                <w:rFonts w:cs="Calibri"/>
                <w:b/>
              </w:rPr>
              <w:t xml:space="preserve">Action: </w:t>
            </w:r>
            <w:r w:rsidR="000A2A04" w:rsidRPr="0094513F">
              <w:rPr>
                <w:rFonts w:cs="Calibri"/>
                <w:b/>
              </w:rPr>
              <w:t>Trade associations</w:t>
            </w:r>
            <w:r w:rsidR="000A2A04" w:rsidRPr="0094513F">
              <w:rPr>
                <w:rFonts w:cs="Calibri"/>
              </w:rPr>
              <w:t xml:space="preserve"> should then give views on how to implement the requirements, including a definition of what “getting competent” involves. </w:t>
            </w:r>
          </w:p>
          <w:p w:rsidR="00F9551D" w:rsidRPr="0094513F" w:rsidRDefault="00F9551D" w:rsidP="002C16CE">
            <w:pPr>
              <w:numPr>
                <w:ilvl w:val="0"/>
                <w:numId w:val="17"/>
              </w:numPr>
              <w:tabs>
                <w:tab w:val="clear" w:pos="926"/>
                <w:tab w:val="left" w:pos="737"/>
              </w:tabs>
              <w:ind w:left="738" w:hanging="284"/>
              <w:contextualSpacing/>
              <w:rPr>
                <w:rFonts w:cs="Calibri"/>
              </w:rPr>
            </w:pPr>
            <w:r w:rsidRPr="0094513F">
              <w:rPr>
                <w:rFonts w:cs="Calibri"/>
              </w:rPr>
              <w:t xml:space="preserve">More generally, the need to have </w:t>
            </w:r>
            <w:proofErr w:type="spellStart"/>
            <w:r w:rsidRPr="0094513F">
              <w:rPr>
                <w:rFonts w:cs="Calibri"/>
              </w:rPr>
              <w:t>microgeneration</w:t>
            </w:r>
            <w:proofErr w:type="spellEnd"/>
            <w:r w:rsidRPr="0094513F">
              <w:rPr>
                <w:rFonts w:cs="Calibri"/>
              </w:rPr>
              <w:t xml:space="preserve"> measures in the PAS was questioned, as MCS already </w:t>
            </w:r>
            <w:r w:rsidR="00C61CCB">
              <w:rPr>
                <w:rFonts w:cs="Calibri"/>
              </w:rPr>
              <w:t xml:space="preserve">adequately </w:t>
            </w:r>
            <w:r w:rsidRPr="0094513F">
              <w:rPr>
                <w:rFonts w:cs="Calibri"/>
              </w:rPr>
              <w:t>cover</w:t>
            </w:r>
            <w:r w:rsidR="00C61CCB">
              <w:rPr>
                <w:rFonts w:cs="Calibri"/>
              </w:rPr>
              <w:t xml:space="preserve">s certification of </w:t>
            </w:r>
            <w:proofErr w:type="spellStart"/>
            <w:r w:rsidR="00C61CCB">
              <w:rPr>
                <w:rFonts w:cs="Calibri"/>
              </w:rPr>
              <w:t>microgeneration</w:t>
            </w:r>
            <w:proofErr w:type="spellEnd"/>
            <w:r w:rsidR="00C61CCB">
              <w:rPr>
                <w:rFonts w:cs="Calibri"/>
              </w:rPr>
              <w:t xml:space="preserve"> products and installations. </w:t>
            </w:r>
            <w:r w:rsidRPr="0094513F">
              <w:rPr>
                <w:rFonts w:cs="Calibri"/>
              </w:rPr>
              <w:t xml:space="preserve"> </w:t>
            </w:r>
          </w:p>
          <w:p w:rsidR="00F9551D" w:rsidRPr="0094513F" w:rsidRDefault="00F9551D" w:rsidP="002C16CE">
            <w:pPr>
              <w:numPr>
                <w:ilvl w:val="0"/>
                <w:numId w:val="17"/>
              </w:numPr>
              <w:tabs>
                <w:tab w:val="clear" w:pos="926"/>
                <w:tab w:val="left" w:pos="737"/>
              </w:tabs>
              <w:ind w:left="738" w:hanging="284"/>
              <w:contextualSpacing/>
              <w:rPr>
                <w:rFonts w:cs="Calibri"/>
              </w:rPr>
            </w:pPr>
            <w:r w:rsidRPr="0094513F">
              <w:rPr>
                <w:rFonts w:cs="Calibri"/>
              </w:rPr>
              <w:t xml:space="preserve">From a consumer perspective, there is merit in having a single </w:t>
            </w:r>
            <w:r w:rsidR="000F3755" w:rsidRPr="0094513F">
              <w:rPr>
                <w:rFonts w:cs="Calibri"/>
              </w:rPr>
              <w:t xml:space="preserve">“Green Deal badge”, and the PAS is meant to cover all measures eligible for Green Deal. </w:t>
            </w:r>
            <w:r w:rsidR="00887203" w:rsidRPr="0094513F">
              <w:rPr>
                <w:rFonts w:cs="Calibri"/>
              </w:rPr>
              <w:t xml:space="preserve">However, MCS has its own marketing strategy. </w:t>
            </w:r>
          </w:p>
          <w:p w:rsidR="00B7268F" w:rsidRPr="0094513F" w:rsidRDefault="00B7268F" w:rsidP="002C16CE">
            <w:pPr>
              <w:numPr>
                <w:ilvl w:val="0"/>
                <w:numId w:val="17"/>
              </w:numPr>
              <w:tabs>
                <w:tab w:val="clear" w:pos="926"/>
                <w:tab w:val="left" w:pos="737"/>
              </w:tabs>
              <w:ind w:left="738" w:hanging="284"/>
              <w:contextualSpacing/>
              <w:rPr>
                <w:rFonts w:cs="Calibri"/>
              </w:rPr>
            </w:pPr>
            <w:r w:rsidRPr="0094513F">
              <w:rPr>
                <w:rFonts w:cs="Calibri"/>
              </w:rPr>
              <w:t xml:space="preserve">MB mentioned that Nicola O’Connor at DECC is writing a paper on the preparedness of the supply chain to deliver GD and is keen to hear the views of the MGICG. </w:t>
            </w:r>
            <w:r w:rsidR="00896BEB" w:rsidRPr="0094513F">
              <w:rPr>
                <w:rFonts w:cs="Calibri"/>
              </w:rPr>
              <w:t xml:space="preserve">This work also covers product standards (incl. CE marking). </w:t>
            </w:r>
            <w:r w:rsidRPr="0094513F">
              <w:rPr>
                <w:rFonts w:cs="Calibri"/>
                <w:b/>
              </w:rPr>
              <w:t>Action EEPH</w:t>
            </w:r>
            <w:r w:rsidRPr="0094513F">
              <w:rPr>
                <w:rFonts w:cs="Calibri"/>
              </w:rPr>
              <w:t xml:space="preserve"> to schedule an extended meeting in </w:t>
            </w:r>
            <w:r w:rsidR="00896BEB" w:rsidRPr="0094513F">
              <w:rPr>
                <w:rFonts w:cs="Calibri"/>
              </w:rPr>
              <w:t>November with</w:t>
            </w:r>
            <w:r w:rsidRPr="0094513F">
              <w:rPr>
                <w:rFonts w:cs="Calibri"/>
              </w:rPr>
              <w:t xml:space="preserve"> Nicola. </w:t>
            </w:r>
          </w:p>
          <w:p w:rsidR="00B7268F" w:rsidRPr="0094513F" w:rsidRDefault="00B7268F" w:rsidP="002C16CE">
            <w:pPr>
              <w:numPr>
                <w:ilvl w:val="0"/>
                <w:numId w:val="17"/>
              </w:numPr>
              <w:tabs>
                <w:tab w:val="clear" w:pos="926"/>
                <w:tab w:val="left" w:pos="737"/>
              </w:tabs>
              <w:ind w:left="738" w:hanging="284"/>
              <w:contextualSpacing/>
              <w:rPr>
                <w:rFonts w:cs="Calibri"/>
              </w:rPr>
            </w:pPr>
            <w:r w:rsidRPr="0094513F">
              <w:rPr>
                <w:rFonts w:cs="Calibri"/>
              </w:rPr>
              <w:t xml:space="preserve">Concerning “products”, the point was made that GD currently is very much individual property / freeholder-based, and community schemes (e.g. tower blocks, district heating) could be </w:t>
            </w:r>
            <w:r w:rsidR="00175D57" w:rsidRPr="0094513F">
              <w:rPr>
                <w:rFonts w:cs="Calibri"/>
              </w:rPr>
              <w:t xml:space="preserve">left out despite large GD providers’ interest in bulk delivery. </w:t>
            </w:r>
          </w:p>
        </w:tc>
      </w:tr>
      <w:tr w:rsidR="000A2A04" w:rsidRPr="0094513F" w:rsidTr="0094513F">
        <w:trPr>
          <w:jc w:val="center"/>
        </w:trPr>
        <w:tc>
          <w:tcPr>
            <w:tcW w:w="9299" w:type="dxa"/>
            <w:shd w:val="clear" w:color="auto" w:fill="E6E6E6"/>
            <w:vAlign w:val="center"/>
          </w:tcPr>
          <w:p w:rsidR="000A2A04" w:rsidRPr="0094513F" w:rsidRDefault="00887203" w:rsidP="002C16CE">
            <w:pPr>
              <w:numPr>
                <w:ilvl w:val="0"/>
                <w:numId w:val="20"/>
              </w:numPr>
              <w:tabs>
                <w:tab w:val="clear" w:pos="360"/>
                <w:tab w:val="left" w:pos="284"/>
              </w:tabs>
              <w:ind w:left="357" w:hanging="357"/>
              <w:contextualSpacing/>
              <w:rPr>
                <w:rFonts w:cs="Calibri"/>
                <w:sz w:val="23"/>
              </w:rPr>
            </w:pPr>
            <w:r w:rsidRPr="0094513F">
              <w:rPr>
                <w:rFonts w:cs="Calibri"/>
                <w:sz w:val="23"/>
              </w:rPr>
              <w:t>U</w:t>
            </w:r>
            <w:r w:rsidR="000A2A04" w:rsidRPr="0094513F">
              <w:rPr>
                <w:rFonts w:cs="Calibri"/>
                <w:sz w:val="23"/>
              </w:rPr>
              <w:t>pdates on the Action Plan</w:t>
            </w:r>
          </w:p>
        </w:tc>
      </w:tr>
      <w:tr w:rsidR="000A2A04" w:rsidRPr="0094513F" w:rsidTr="0094513F">
        <w:trPr>
          <w:jc w:val="center"/>
        </w:trPr>
        <w:tc>
          <w:tcPr>
            <w:tcW w:w="9299" w:type="dxa"/>
          </w:tcPr>
          <w:p w:rsidR="000A2A04" w:rsidRPr="0094513F" w:rsidRDefault="000A2A04" w:rsidP="002C16CE">
            <w:pPr>
              <w:numPr>
                <w:ilvl w:val="0"/>
                <w:numId w:val="17"/>
              </w:numPr>
              <w:tabs>
                <w:tab w:val="clear" w:pos="926"/>
                <w:tab w:val="left" w:pos="737"/>
              </w:tabs>
              <w:ind w:left="738" w:hanging="284"/>
              <w:contextualSpacing/>
              <w:rPr>
                <w:rFonts w:cs="Calibri"/>
              </w:rPr>
            </w:pPr>
            <w:r w:rsidRPr="0094513F">
              <w:rPr>
                <w:rFonts w:cs="Calibri"/>
              </w:rPr>
              <w:t xml:space="preserve">NH reported that deliverable 15a was done, 15b would be on track for delivery by March 2012, and 15c picked up by Asset Skills. </w:t>
            </w:r>
          </w:p>
          <w:p w:rsidR="00B1734D" w:rsidRPr="0094513F" w:rsidRDefault="000A2A04" w:rsidP="002C16CE">
            <w:pPr>
              <w:numPr>
                <w:ilvl w:val="0"/>
                <w:numId w:val="17"/>
              </w:numPr>
              <w:tabs>
                <w:tab w:val="clear" w:pos="926"/>
                <w:tab w:val="left" w:pos="737"/>
              </w:tabs>
              <w:ind w:left="738" w:hanging="284"/>
              <w:contextualSpacing/>
              <w:rPr>
                <w:rFonts w:cs="Calibri"/>
              </w:rPr>
            </w:pPr>
            <w:r w:rsidRPr="0094513F">
              <w:rPr>
                <w:rFonts w:cs="Calibri"/>
              </w:rPr>
              <w:t xml:space="preserve">GR confirmed that the date for establishing a Board of Directors and setting up the legal entity is set as 1 April 2012. A further meeting of the Standards Management Group is to be scheduled, with Micro </w:t>
            </w:r>
            <w:r w:rsidR="00452B95" w:rsidRPr="0094513F">
              <w:rPr>
                <w:rFonts w:cs="Calibri"/>
              </w:rPr>
              <w:t>C</w:t>
            </w:r>
            <w:r w:rsidRPr="0094513F">
              <w:rPr>
                <w:rFonts w:cs="Calibri"/>
              </w:rPr>
              <w:t xml:space="preserve">HP and innovative products being the priorities. He also announced </w:t>
            </w:r>
            <w:r w:rsidRPr="0094513F">
              <w:rPr>
                <w:rFonts w:cs="Calibri"/>
              </w:rPr>
              <w:lastRenderedPageBreak/>
              <w:t xml:space="preserve">that MCS is now in the black </w:t>
            </w:r>
            <w:r w:rsidR="00452B95" w:rsidRPr="0094513F">
              <w:rPr>
                <w:rFonts w:cs="Calibri"/>
              </w:rPr>
              <w:t xml:space="preserve">financially </w:t>
            </w:r>
            <w:r w:rsidRPr="0094513F">
              <w:rPr>
                <w:rFonts w:cs="Calibri"/>
              </w:rPr>
              <w:t xml:space="preserve">after a long struggle. BA commended </w:t>
            </w:r>
            <w:r w:rsidR="00896BEB" w:rsidRPr="0094513F">
              <w:rPr>
                <w:rFonts w:cs="Calibri"/>
              </w:rPr>
              <w:t xml:space="preserve">GR on </w:t>
            </w:r>
            <w:r w:rsidRPr="0094513F">
              <w:rPr>
                <w:rFonts w:cs="Calibri"/>
              </w:rPr>
              <w:t xml:space="preserve">this achievement. </w:t>
            </w:r>
            <w:r w:rsidR="00B1734D" w:rsidRPr="0094513F">
              <w:rPr>
                <w:rFonts w:cs="Calibri"/>
              </w:rPr>
              <w:t xml:space="preserve"> </w:t>
            </w:r>
          </w:p>
        </w:tc>
      </w:tr>
      <w:tr w:rsidR="00896BEB" w:rsidRPr="0094513F" w:rsidTr="0094513F">
        <w:trPr>
          <w:jc w:val="center"/>
        </w:trPr>
        <w:tc>
          <w:tcPr>
            <w:tcW w:w="9299" w:type="dxa"/>
            <w:shd w:val="clear" w:color="auto" w:fill="E6E6E6"/>
            <w:vAlign w:val="center"/>
          </w:tcPr>
          <w:p w:rsidR="00896BEB" w:rsidRPr="0094513F" w:rsidRDefault="00887203" w:rsidP="002C16CE">
            <w:pPr>
              <w:numPr>
                <w:ilvl w:val="0"/>
                <w:numId w:val="20"/>
              </w:numPr>
              <w:tabs>
                <w:tab w:val="clear" w:pos="360"/>
                <w:tab w:val="left" w:pos="284"/>
              </w:tabs>
              <w:ind w:left="357" w:hanging="357"/>
              <w:contextualSpacing/>
              <w:rPr>
                <w:rFonts w:cs="Calibri"/>
                <w:sz w:val="23"/>
              </w:rPr>
            </w:pPr>
            <w:r w:rsidRPr="0094513F">
              <w:rPr>
                <w:rFonts w:cs="Calibri"/>
                <w:sz w:val="23"/>
              </w:rPr>
              <w:lastRenderedPageBreak/>
              <w:t>AOB</w:t>
            </w:r>
          </w:p>
        </w:tc>
      </w:tr>
      <w:tr w:rsidR="00896BEB" w:rsidRPr="0094513F" w:rsidTr="0094513F">
        <w:trPr>
          <w:jc w:val="center"/>
        </w:trPr>
        <w:tc>
          <w:tcPr>
            <w:tcW w:w="9299" w:type="dxa"/>
          </w:tcPr>
          <w:p w:rsidR="00896BEB" w:rsidRPr="0094513F" w:rsidRDefault="00896BEB" w:rsidP="002C16CE">
            <w:pPr>
              <w:numPr>
                <w:ilvl w:val="0"/>
                <w:numId w:val="17"/>
              </w:numPr>
              <w:tabs>
                <w:tab w:val="clear" w:pos="926"/>
                <w:tab w:val="left" w:pos="737"/>
              </w:tabs>
              <w:ind w:left="738" w:hanging="284"/>
              <w:contextualSpacing/>
              <w:rPr>
                <w:rFonts w:cs="Calibri"/>
              </w:rPr>
            </w:pPr>
            <w:r w:rsidRPr="0094513F">
              <w:rPr>
                <w:rFonts w:cs="Calibri"/>
              </w:rPr>
              <w:t xml:space="preserve">PR raised the question of reporting on progress: </w:t>
            </w:r>
            <w:r w:rsidR="00887203" w:rsidRPr="0094513F">
              <w:rPr>
                <w:rFonts w:cs="Calibri"/>
              </w:rPr>
              <w:t xml:space="preserve">Government </w:t>
            </w:r>
            <w:r w:rsidRPr="0094513F">
              <w:rPr>
                <w:rFonts w:cs="Calibri"/>
              </w:rPr>
              <w:t xml:space="preserve">will have to report on progress with implementing the Strategy, and a briefing for the minister will need to be prepared on progress within the MGICG. MB suggested to turn today’s meeting notes into a </w:t>
            </w:r>
            <w:r w:rsidR="00887203" w:rsidRPr="0094513F">
              <w:rPr>
                <w:rFonts w:cs="Calibri"/>
              </w:rPr>
              <w:t>progress</w:t>
            </w:r>
            <w:r w:rsidRPr="0094513F">
              <w:rPr>
                <w:rFonts w:cs="Calibri"/>
              </w:rPr>
              <w:t xml:space="preserve"> report. </w:t>
            </w:r>
            <w:r w:rsidR="00887203" w:rsidRPr="009B1E77">
              <w:rPr>
                <w:b/>
              </w:rPr>
              <w:t>Action</w:t>
            </w:r>
            <w:r w:rsidR="0055034D" w:rsidRPr="009B1E77">
              <w:rPr>
                <w:b/>
              </w:rPr>
              <w:t>: EEPH</w:t>
            </w:r>
          </w:p>
          <w:p w:rsidR="00896BEB" w:rsidRPr="0094513F" w:rsidRDefault="00896BEB" w:rsidP="002C16CE">
            <w:pPr>
              <w:numPr>
                <w:ilvl w:val="0"/>
                <w:numId w:val="17"/>
              </w:numPr>
              <w:tabs>
                <w:tab w:val="clear" w:pos="926"/>
                <w:tab w:val="left" w:pos="737"/>
              </w:tabs>
              <w:ind w:left="738" w:hanging="284"/>
              <w:contextualSpacing/>
              <w:rPr>
                <w:rFonts w:cs="Calibri"/>
              </w:rPr>
            </w:pPr>
            <w:r w:rsidRPr="0094513F">
              <w:rPr>
                <w:rFonts w:cs="Calibri"/>
              </w:rPr>
              <w:t xml:space="preserve">PR also mentioned that a meeting with </w:t>
            </w:r>
            <w:proofErr w:type="spellStart"/>
            <w:r w:rsidRPr="0094513F">
              <w:rPr>
                <w:rFonts w:cs="Calibri"/>
              </w:rPr>
              <w:t>Ofgem</w:t>
            </w:r>
            <w:proofErr w:type="spellEnd"/>
            <w:r w:rsidRPr="0094513F">
              <w:rPr>
                <w:rFonts w:cs="Calibri"/>
              </w:rPr>
              <w:t xml:space="preserve"> and the Energy Network Association is to be held.</w:t>
            </w:r>
            <w:r w:rsidR="0055034D" w:rsidRPr="0094513F">
              <w:rPr>
                <w:rFonts w:cs="Calibri"/>
              </w:rPr>
              <w:t xml:space="preserve"> </w:t>
            </w:r>
            <w:r w:rsidR="0055034D" w:rsidRPr="0094513F">
              <w:rPr>
                <w:rFonts w:cs="Calibri"/>
                <w:b/>
              </w:rPr>
              <w:t>Action: EEPH</w:t>
            </w:r>
            <w:r w:rsidR="0055034D" w:rsidRPr="0094513F">
              <w:rPr>
                <w:rFonts w:cs="Calibri"/>
              </w:rPr>
              <w:t xml:space="preserve"> to schedule into next meeting</w:t>
            </w:r>
          </w:p>
          <w:p w:rsidR="00896BEB" w:rsidRPr="0094513F" w:rsidRDefault="00896BEB" w:rsidP="002C16CE">
            <w:pPr>
              <w:numPr>
                <w:ilvl w:val="0"/>
                <w:numId w:val="17"/>
              </w:numPr>
              <w:tabs>
                <w:tab w:val="clear" w:pos="926"/>
                <w:tab w:val="left" w:pos="737"/>
              </w:tabs>
              <w:ind w:left="738" w:hanging="284"/>
              <w:contextualSpacing/>
              <w:rPr>
                <w:rFonts w:cs="Calibri"/>
              </w:rPr>
            </w:pPr>
            <w:r w:rsidRPr="0094513F">
              <w:rPr>
                <w:rFonts w:cs="Calibri"/>
              </w:rPr>
              <w:t>LL mentioned Consumer Focus’ survey on consumer experience on small-scale renewables which had a very good (&gt;2,000) response rate. Initial results are expected by end of October.</w:t>
            </w:r>
          </w:p>
          <w:p w:rsidR="00896BEB" w:rsidRPr="0094513F" w:rsidRDefault="00896BEB" w:rsidP="002C16CE">
            <w:pPr>
              <w:numPr>
                <w:ilvl w:val="0"/>
                <w:numId w:val="17"/>
              </w:numPr>
              <w:tabs>
                <w:tab w:val="clear" w:pos="926"/>
                <w:tab w:val="left" w:pos="737"/>
              </w:tabs>
              <w:ind w:left="738" w:hanging="284"/>
              <w:contextualSpacing/>
              <w:rPr>
                <w:rFonts w:cs="Calibri"/>
              </w:rPr>
            </w:pPr>
            <w:r w:rsidRPr="0094513F">
              <w:rPr>
                <w:rFonts w:cs="Calibri"/>
              </w:rPr>
              <w:t xml:space="preserve">The next meeting of the MGICG is to be held end of November, as a longer session with Nicola O’Connor, potentially also including a back-to-back part with </w:t>
            </w:r>
            <w:proofErr w:type="spellStart"/>
            <w:r w:rsidRPr="0094513F">
              <w:rPr>
                <w:rFonts w:cs="Calibri"/>
              </w:rPr>
              <w:t>Ofgem</w:t>
            </w:r>
            <w:proofErr w:type="spellEnd"/>
            <w:r w:rsidRPr="0094513F">
              <w:rPr>
                <w:rFonts w:cs="Calibri"/>
              </w:rPr>
              <w:t xml:space="preserve"> and the ENA. </w:t>
            </w:r>
          </w:p>
        </w:tc>
      </w:tr>
    </w:tbl>
    <w:p w:rsidR="00C02FC3" w:rsidRDefault="00C02FC3" w:rsidP="008B1021"/>
    <w:p w:rsidR="00C647DD" w:rsidRDefault="00C647DD" w:rsidP="008B1021"/>
    <w:p w:rsidR="008B1021" w:rsidRPr="008B1021" w:rsidRDefault="009B1E77" w:rsidP="009B1E77">
      <w:pPr>
        <w:pStyle w:val="Heading2"/>
      </w:pPr>
      <w:r>
        <w:t>Actions</w:t>
      </w:r>
    </w:p>
    <w:tbl>
      <w:tblPr>
        <w:tblW w:w="9299" w:type="dxa"/>
        <w:jc w:val="center"/>
        <w:tblBorders>
          <w:top w:val="single" w:sz="2" w:space="0" w:color="31313D"/>
          <w:left w:val="single" w:sz="2" w:space="0" w:color="31313D"/>
          <w:bottom w:val="single" w:sz="2" w:space="0" w:color="31313D"/>
          <w:right w:val="single" w:sz="2" w:space="0" w:color="31313D"/>
          <w:insideH w:val="single" w:sz="2" w:space="0" w:color="31313D"/>
          <w:insideV w:val="single" w:sz="2" w:space="0" w:color="31313D"/>
        </w:tblBorders>
        <w:tblCellMar>
          <w:top w:w="28" w:type="dxa"/>
          <w:bottom w:w="28" w:type="dxa"/>
        </w:tblCellMar>
        <w:tblLook w:val="00A0" w:firstRow="1" w:lastRow="0" w:firstColumn="1" w:lastColumn="0" w:noHBand="0" w:noVBand="0"/>
      </w:tblPr>
      <w:tblGrid>
        <w:gridCol w:w="921"/>
        <w:gridCol w:w="5260"/>
        <w:gridCol w:w="1843"/>
        <w:gridCol w:w="1275"/>
      </w:tblGrid>
      <w:tr w:rsidR="0094513F" w:rsidRPr="0094513F" w:rsidTr="0094513F">
        <w:trPr>
          <w:jc w:val="center"/>
        </w:trPr>
        <w:tc>
          <w:tcPr>
            <w:tcW w:w="921" w:type="dxa"/>
            <w:shd w:val="clear" w:color="auto" w:fill="E6E6E6"/>
            <w:vAlign w:val="center"/>
          </w:tcPr>
          <w:p w:rsidR="009B1E77" w:rsidRPr="0094513F" w:rsidRDefault="009B1E77" w:rsidP="009B1E77">
            <w:pPr>
              <w:rPr>
                <w:rFonts w:cs="Calibri"/>
                <w:sz w:val="23"/>
              </w:rPr>
            </w:pPr>
            <w:r w:rsidRPr="0094513F">
              <w:rPr>
                <w:rFonts w:cs="Calibri"/>
                <w:b/>
                <w:sz w:val="23"/>
              </w:rPr>
              <w:t>Section</w:t>
            </w:r>
          </w:p>
        </w:tc>
        <w:tc>
          <w:tcPr>
            <w:tcW w:w="5260" w:type="dxa"/>
            <w:shd w:val="clear" w:color="auto" w:fill="E6E6E6"/>
            <w:vAlign w:val="center"/>
          </w:tcPr>
          <w:p w:rsidR="009B1E77" w:rsidRPr="0094513F" w:rsidRDefault="009B1E77" w:rsidP="009B1E77">
            <w:pPr>
              <w:rPr>
                <w:rFonts w:cs="Calibri"/>
                <w:sz w:val="23"/>
              </w:rPr>
            </w:pPr>
            <w:r w:rsidRPr="0094513F">
              <w:rPr>
                <w:rFonts w:cs="Calibri"/>
                <w:b/>
                <w:sz w:val="23"/>
              </w:rPr>
              <w:t>Action</w:t>
            </w:r>
          </w:p>
        </w:tc>
        <w:tc>
          <w:tcPr>
            <w:tcW w:w="1843" w:type="dxa"/>
            <w:shd w:val="clear" w:color="auto" w:fill="E6E6E6"/>
            <w:vAlign w:val="center"/>
          </w:tcPr>
          <w:p w:rsidR="009B1E77" w:rsidRPr="0094513F" w:rsidRDefault="009B1E77" w:rsidP="009B1E77">
            <w:pPr>
              <w:rPr>
                <w:rFonts w:cs="Calibri"/>
                <w:b/>
                <w:sz w:val="23"/>
              </w:rPr>
            </w:pPr>
            <w:r w:rsidRPr="0094513F">
              <w:rPr>
                <w:rFonts w:cs="Calibri"/>
                <w:b/>
                <w:sz w:val="23"/>
              </w:rPr>
              <w:t>lead</w:t>
            </w:r>
          </w:p>
        </w:tc>
        <w:tc>
          <w:tcPr>
            <w:tcW w:w="1275" w:type="dxa"/>
            <w:shd w:val="clear" w:color="auto" w:fill="E6E6E6"/>
            <w:vAlign w:val="center"/>
          </w:tcPr>
          <w:p w:rsidR="009B1E77" w:rsidRPr="0094513F" w:rsidRDefault="009B1E77" w:rsidP="009B1E77">
            <w:pPr>
              <w:rPr>
                <w:rFonts w:cs="Calibri"/>
                <w:sz w:val="23"/>
              </w:rPr>
            </w:pPr>
            <w:r w:rsidRPr="0094513F">
              <w:rPr>
                <w:rFonts w:cs="Calibri"/>
                <w:sz w:val="23"/>
              </w:rPr>
              <w:t>timing</w:t>
            </w:r>
          </w:p>
        </w:tc>
      </w:tr>
      <w:tr w:rsidR="0094513F" w:rsidRPr="0094513F" w:rsidTr="0094513F">
        <w:trPr>
          <w:jc w:val="center"/>
        </w:trPr>
        <w:tc>
          <w:tcPr>
            <w:tcW w:w="921" w:type="dxa"/>
          </w:tcPr>
          <w:p w:rsidR="009B1E77" w:rsidRPr="0094513F" w:rsidRDefault="009B1E77" w:rsidP="009B1E77">
            <w:pPr>
              <w:jc w:val="center"/>
              <w:rPr>
                <w:rFonts w:cs="Calibri"/>
              </w:rPr>
            </w:pPr>
            <w:r w:rsidRPr="0094513F">
              <w:rPr>
                <w:rFonts w:cs="Calibri"/>
              </w:rPr>
              <w:t>2</w:t>
            </w:r>
          </w:p>
        </w:tc>
        <w:tc>
          <w:tcPr>
            <w:tcW w:w="5260" w:type="dxa"/>
          </w:tcPr>
          <w:p w:rsidR="009B1E77" w:rsidRPr="0094513F" w:rsidRDefault="009B1E77" w:rsidP="009B1E77">
            <w:pPr>
              <w:rPr>
                <w:rFonts w:cs="Calibri"/>
              </w:rPr>
            </w:pPr>
            <w:r w:rsidRPr="0094513F">
              <w:rPr>
                <w:rFonts w:cs="Calibri"/>
              </w:rPr>
              <w:t>Stage a workshop on warranty issues</w:t>
            </w:r>
          </w:p>
        </w:tc>
        <w:tc>
          <w:tcPr>
            <w:tcW w:w="1843" w:type="dxa"/>
          </w:tcPr>
          <w:p w:rsidR="009B1E77" w:rsidRPr="0094513F" w:rsidRDefault="009B1E77" w:rsidP="009B1E77">
            <w:pPr>
              <w:rPr>
                <w:rFonts w:cs="Calibri"/>
                <w:b/>
              </w:rPr>
            </w:pPr>
            <w:r w:rsidRPr="0094513F">
              <w:rPr>
                <w:rFonts w:cs="Calibri"/>
                <w:b/>
              </w:rPr>
              <w:t>EEPH</w:t>
            </w:r>
          </w:p>
        </w:tc>
        <w:tc>
          <w:tcPr>
            <w:tcW w:w="1275" w:type="dxa"/>
          </w:tcPr>
          <w:p w:rsidR="009B1E77" w:rsidRPr="0094513F" w:rsidRDefault="009304A5" w:rsidP="009B1E77">
            <w:pPr>
              <w:rPr>
                <w:rFonts w:cs="Calibri"/>
              </w:rPr>
            </w:pPr>
            <w:r>
              <w:rPr>
                <w:rFonts w:cs="Calibri"/>
              </w:rPr>
              <w:t>Dec/Jan</w:t>
            </w:r>
          </w:p>
        </w:tc>
      </w:tr>
      <w:tr w:rsidR="0094513F" w:rsidRPr="0094513F" w:rsidTr="0094513F">
        <w:trPr>
          <w:jc w:val="center"/>
        </w:trPr>
        <w:tc>
          <w:tcPr>
            <w:tcW w:w="921" w:type="dxa"/>
            <w:vMerge w:val="restart"/>
          </w:tcPr>
          <w:p w:rsidR="0094513F" w:rsidRPr="0094513F" w:rsidRDefault="0094513F" w:rsidP="009B1E77">
            <w:pPr>
              <w:jc w:val="center"/>
              <w:rPr>
                <w:rFonts w:cs="Calibri"/>
              </w:rPr>
            </w:pPr>
            <w:r w:rsidRPr="0094513F">
              <w:rPr>
                <w:rFonts w:cs="Calibri"/>
              </w:rPr>
              <w:t>3</w:t>
            </w:r>
          </w:p>
        </w:tc>
        <w:tc>
          <w:tcPr>
            <w:tcW w:w="5260" w:type="dxa"/>
          </w:tcPr>
          <w:p w:rsidR="0094513F" w:rsidRPr="0094513F" w:rsidRDefault="0094513F" w:rsidP="009B1E77">
            <w:pPr>
              <w:rPr>
                <w:rFonts w:cs="Calibri"/>
              </w:rPr>
            </w:pPr>
            <w:r w:rsidRPr="0094513F">
              <w:rPr>
                <w:rFonts w:cs="Calibri"/>
              </w:rPr>
              <w:t xml:space="preserve">Evidence-backed comments </w:t>
            </w:r>
            <w:r w:rsidR="00F2051D">
              <w:rPr>
                <w:rFonts w:cs="Calibri"/>
              </w:rPr>
              <w:t xml:space="preserve">on Buyer’s Guide </w:t>
            </w:r>
            <w:r w:rsidRPr="0094513F">
              <w:rPr>
                <w:rFonts w:cs="Calibri"/>
              </w:rPr>
              <w:t xml:space="preserve">to be sent to </w:t>
            </w:r>
            <w:proofErr w:type="spellStart"/>
            <w:r w:rsidRPr="0094513F">
              <w:rPr>
                <w:rFonts w:cs="Calibri"/>
              </w:rPr>
              <w:t>MHes</w:t>
            </w:r>
            <w:proofErr w:type="spellEnd"/>
            <w:r w:rsidRPr="0094513F">
              <w:rPr>
                <w:rFonts w:cs="Calibri"/>
              </w:rPr>
              <w:t xml:space="preserve"> for collation and submission to EST</w:t>
            </w:r>
          </w:p>
        </w:tc>
        <w:tc>
          <w:tcPr>
            <w:tcW w:w="1843" w:type="dxa"/>
          </w:tcPr>
          <w:p w:rsidR="0094513F" w:rsidRPr="0094513F" w:rsidRDefault="0094513F" w:rsidP="009B1E77">
            <w:pPr>
              <w:rPr>
                <w:rFonts w:cs="Calibri"/>
                <w:b/>
              </w:rPr>
            </w:pPr>
            <w:r w:rsidRPr="0094513F">
              <w:rPr>
                <w:rFonts w:cs="Calibri"/>
                <w:b/>
              </w:rPr>
              <w:t>ALL</w:t>
            </w:r>
          </w:p>
        </w:tc>
        <w:tc>
          <w:tcPr>
            <w:tcW w:w="1275" w:type="dxa"/>
          </w:tcPr>
          <w:p w:rsidR="0094513F" w:rsidRPr="0094513F" w:rsidRDefault="009304A5" w:rsidP="009B1E77">
            <w:pPr>
              <w:rPr>
                <w:rFonts w:cs="Calibri"/>
              </w:rPr>
            </w:pPr>
            <w:r>
              <w:rPr>
                <w:rFonts w:cs="Calibri"/>
              </w:rPr>
              <w:t>Nov/Dec</w:t>
            </w:r>
          </w:p>
        </w:tc>
      </w:tr>
      <w:tr w:rsidR="0094513F" w:rsidRPr="0094513F" w:rsidTr="0094513F">
        <w:trPr>
          <w:jc w:val="center"/>
        </w:trPr>
        <w:tc>
          <w:tcPr>
            <w:tcW w:w="921" w:type="dxa"/>
            <w:vMerge/>
          </w:tcPr>
          <w:p w:rsidR="0094513F" w:rsidRPr="0094513F" w:rsidRDefault="0094513F" w:rsidP="009B1E77">
            <w:pPr>
              <w:jc w:val="center"/>
              <w:rPr>
                <w:rFonts w:cs="Calibri"/>
              </w:rPr>
            </w:pPr>
          </w:p>
        </w:tc>
        <w:tc>
          <w:tcPr>
            <w:tcW w:w="5260" w:type="dxa"/>
          </w:tcPr>
          <w:p w:rsidR="0094513F" w:rsidRPr="0094513F" w:rsidRDefault="0094513F" w:rsidP="009B1E77">
            <w:pPr>
              <w:rPr>
                <w:rFonts w:cs="Calibri"/>
              </w:rPr>
            </w:pPr>
            <w:r w:rsidRPr="0094513F">
              <w:rPr>
                <w:rFonts w:cs="Calibri"/>
              </w:rPr>
              <w:t>Stage a workshop on messaging</w:t>
            </w:r>
          </w:p>
        </w:tc>
        <w:tc>
          <w:tcPr>
            <w:tcW w:w="1843" w:type="dxa"/>
          </w:tcPr>
          <w:p w:rsidR="0094513F" w:rsidRPr="0094513F" w:rsidRDefault="0094513F" w:rsidP="009B1E77">
            <w:pPr>
              <w:rPr>
                <w:rFonts w:cs="Calibri"/>
                <w:b/>
              </w:rPr>
            </w:pPr>
            <w:r w:rsidRPr="0094513F">
              <w:rPr>
                <w:rFonts w:cs="Calibri"/>
                <w:b/>
              </w:rPr>
              <w:t>EEPH</w:t>
            </w:r>
          </w:p>
        </w:tc>
        <w:tc>
          <w:tcPr>
            <w:tcW w:w="1275" w:type="dxa"/>
          </w:tcPr>
          <w:p w:rsidR="0094513F" w:rsidRPr="0094513F" w:rsidRDefault="009304A5" w:rsidP="009B1E77">
            <w:pPr>
              <w:rPr>
                <w:rFonts w:cs="Calibri"/>
              </w:rPr>
            </w:pPr>
            <w:r>
              <w:rPr>
                <w:rFonts w:cs="Calibri"/>
              </w:rPr>
              <w:t>Dec/Jan</w:t>
            </w:r>
          </w:p>
        </w:tc>
      </w:tr>
      <w:tr w:rsidR="0094513F" w:rsidRPr="0094513F" w:rsidTr="0094513F">
        <w:trPr>
          <w:jc w:val="center"/>
        </w:trPr>
        <w:tc>
          <w:tcPr>
            <w:tcW w:w="921" w:type="dxa"/>
          </w:tcPr>
          <w:p w:rsidR="009B1E77" w:rsidRPr="0094513F" w:rsidRDefault="009B1E77" w:rsidP="009B1E77">
            <w:pPr>
              <w:jc w:val="center"/>
              <w:rPr>
                <w:rFonts w:cs="Calibri"/>
              </w:rPr>
            </w:pPr>
            <w:r w:rsidRPr="0094513F">
              <w:rPr>
                <w:rFonts w:cs="Calibri"/>
              </w:rPr>
              <w:t>4</w:t>
            </w:r>
          </w:p>
        </w:tc>
        <w:tc>
          <w:tcPr>
            <w:tcW w:w="5260" w:type="dxa"/>
          </w:tcPr>
          <w:p w:rsidR="009B1E77" w:rsidRPr="0094513F" w:rsidRDefault="009B1E77" w:rsidP="009B1E77">
            <w:pPr>
              <w:rPr>
                <w:rFonts w:cs="Calibri"/>
              </w:rPr>
            </w:pPr>
            <w:r w:rsidRPr="0094513F">
              <w:rPr>
                <w:rFonts w:cs="Calibri"/>
              </w:rPr>
              <w:t xml:space="preserve">Any points that haven’t been covered in the SAP snag list to be sent to </w:t>
            </w:r>
            <w:proofErr w:type="spellStart"/>
            <w:r w:rsidRPr="0094513F">
              <w:rPr>
                <w:rFonts w:cs="Calibri"/>
              </w:rPr>
              <w:t>MHes</w:t>
            </w:r>
            <w:proofErr w:type="spellEnd"/>
            <w:r w:rsidRPr="0094513F">
              <w:rPr>
                <w:rFonts w:cs="Calibri"/>
              </w:rPr>
              <w:t xml:space="preserve"> for forwarding to Alan Christie directly</w:t>
            </w:r>
          </w:p>
        </w:tc>
        <w:tc>
          <w:tcPr>
            <w:tcW w:w="1843" w:type="dxa"/>
          </w:tcPr>
          <w:p w:rsidR="009B1E77" w:rsidRPr="0094513F" w:rsidRDefault="009B1E77" w:rsidP="009B1E77">
            <w:pPr>
              <w:rPr>
                <w:rFonts w:cs="Calibri"/>
                <w:b/>
              </w:rPr>
            </w:pPr>
            <w:r w:rsidRPr="0094513F">
              <w:rPr>
                <w:rFonts w:cs="Calibri"/>
                <w:b/>
              </w:rPr>
              <w:t>ALL</w:t>
            </w:r>
          </w:p>
        </w:tc>
        <w:tc>
          <w:tcPr>
            <w:tcW w:w="1275" w:type="dxa"/>
          </w:tcPr>
          <w:p w:rsidR="009B1E77" w:rsidRPr="0094513F" w:rsidRDefault="009304A5" w:rsidP="009B1E77">
            <w:pPr>
              <w:rPr>
                <w:rFonts w:cs="Calibri"/>
              </w:rPr>
            </w:pPr>
            <w:r>
              <w:rPr>
                <w:rFonts w:cs="Calibri"/>
              </w:rPr>
              <w:t>by 3 Oct</w:t>
            </w:r>
          </w:p>
        </w:tc>
      </w:tr>
      <w:tr w:rsidR="0094513F" w:rsidRPr="0094513F" w:rsidTr="0094513F">
        <w:trPr>
          <w:jc w:val="center"/>
        </w:trPr>
        <w:tc>
          <w:tcPr>
            <w:tcW w:w="921" w:type="dxa"/>
            <w:vMerge w:val="restart"/>
          </w:tcPr>
          <w:p w:rsidR="0094513F" w:rsidRPr="0094513F" w:rsidRDefault="0094513F" w:rsidP="009B1E77">
            <w:pPr>
              <w:jc w:val="center"/>
              <w:rPr>
                <w:rFonts w:cs="Calibri"/>
              </w:rPr>
            </w:pPr>
            <w:r w:rsidRPr="0094513F">
              <w:rPr>
                <w:rFonts w:cs="Calibri"/>
              </w:rPr>
              <w:t>5</w:t>
            </w:r>
          </w:p>
        </w:tc>
        <w:tc>
          <w:tcPr>
            <w:tcW w:w="5260" w:type="dxa"/>
          </w:tcPr>
          <w:p w:rsidR="0094513F" w:rsidRPr="0094513F" w:rsidRDefault="0094513F" w:rsidP="0094513F">
            <w:pPr>
              <w:rPr>
                <w:rFonts w:cs="Calibri"/>
              </w:rPr>
            </w:pPr>
            <w:r w:rsidRPr="0094513F">
              <w:rPr>
                <w:rFonts w:cs="Calibri"/>
              </w:rPr>
              <w:t>Draft a paper on competencies for distribution</w:t>
            </w:r>
          </w:p>
        </w:tc>
        <w:tc>
          <w:tcPr>
            <w:tcW w:w="1843" w:type="dxa"/>
          </w:tcPr>
          <w:p w:rsidR="0094513F" w:rsidRPr="0094513F" w:rsidRDefault="0094513F" w:rsidP="009B1E77">
            <w:pPr>
              <w:rPr>
                <w:rFonts w:cs="Calibri"/>
                <w:b/>
              </w:rPr>
            </w:pPr>
            <w:r w:rsidRPr="0094513F">
              <w:rPr>
                <w:rFonts w:cs="Calibri"/>
                <w:b/>
              </w:rPr>
              <w:t>NH and GR</w:t>
            </w:r>
          </w:p>
        </w:tc>
        <w:tc>
          <w:tcPr>
            <w:tcW w:w="1275" w:type="dxa"/>
          </w:tcPr>
          <w:p w:rsidR="0094513F" w:rsidRPr="0094513F" w:rsidRDefault="009304A5" w:rsidP="009B1E77">
            <w:pPr>
              <w:rPr>
                <w:rFonts w:cs="Calibri"/>
              </w:rPr>
            </w:pPr>
            <w:r>
              <w:rPr>
                <w:rFonts w:cs="Calibri"/>
              </w:rPr>
              <w:t>Oct</w:t>
            </w:r>
          </w:p>
        </w:tc>
      </w:tr>
      <w:tr w:rsidR="0094513F" w:rsidRPr="0094513F" w:rsidTr="0094513F">
        <w:trPr>
          <w:jc w:val="center"/>
        </w:trPr>
        <w:tc>
          <w:tcPr>
            <w:tcW w:w="921" w:type="dxa"/>
            <w:vMerge/>
          </w:tcPr>
          <w:p w:rsidR="0094513F" w:rsidRPr="0094513F" w:rsidRDefault="0094513F" w:rsidP="009B1E77">
            <w:pPr>
              <w:jc w:val="center"/>
              <w:rPr>
                <w:rFonts w:cs="Calibri"/>
              </w:rPr>
            </w:pPr>
          </w:p>
        </w:tc>
        <w:tc>
          <w:tcPr>
            <w:tcW w:w="5260" w:type="dxa"/>
          </w:tcPr>
          <w:p w:rsidR="0094513F" w:rsidRPr="0094513F" w:rsidRDefault="0094513F" w:rsidP="0094513F">
            <w:pPr>
              <w:rPr>
                <w:rFonts w:cs="Calibri"/>
              </w:rPr>
            </w:pPr>
            <w:r w:rsidRPr="0094513F">
              <w:rPr>
                <w:rFonts w:cs="Calibri"/>
              </w:rPr>
              <w:t>Trade associations to give views on how to implement the requirements in the competency paper</w:t>
            </w:r>
          </w:p>
        </w:tc>
        <w:tc>
          <w:tcPr>
            <w:tcW w:w="1843" w:type="dxa"/>
          </w:tcPr>
          <w:p w:rsidR="0094513F" w:rsidRPr="0094513F" w:rsidRDefault="0094513F" w:rsidP="0094513F">
            <w:pPr>
              <w:rPr>
                <w:rFonts w:cs="Calibri"/>
                <w:b/>
              </w:rPr>
            </w:pPr>
            <w:r w:rsidRPr="0094513F">
              <w:rPr>
                <w:rFonts w:cs="Calibri"/>
                <w:b/>
              </w:rPr>
              <w:t>Trade association members</w:t>
            </w:r>
          </w:p>
        </w:tc>
        <w:tc>
          <w:tcPr>
            <w:tcW w:w="1275" w:type="dxa"/>
          </w:tcPr>
          <w:p w:rsidR="0094513F" w:rsidRPr="0094513F" w:rsidRDefault="009304A5" w:rsidP="009B1E77">
            <w:pPr>
              <w:rPr>
                <w:rFonts w:cs="Calibri"/>
              </w:rPr>
            </w:pPr>
            <w:r>
              <w:rPr>
                <w:rFonts w:cs="Calibri"/>
              </w:rPr>
              <w:t>Nov</w:t>
            </w:r>
          </w:p>
        </w:tc>
      </w:tr>
      <w:tr w:rsidR="0094513F" w:rsidRPr="0094513F" w:rsidTr="0094513F">
        <w:trPr>
          <w:jc w:val="center"/>
        </w:trPr>
        <w:tc>
          <w:tcPr>
            <w:tcW w:w="921" w:type="dxa"/>
            <w:vMerge/>
          </w:tcPr>
          <w:p w:rsidR="0094513F" w:rsidRPr="0094513F" w:rsidRDefault="0094513F" w:rsidP="009B1E77">
            <w:pPr>
              <w:jc w:val="center"/>
              <w:rPr>
                <w:rFonts w:cs="Calibri"/>
              </w:rPr>
            </w:pPr>
          </w:p>
        </w:tc>
        <w:tc>
          <w:tcPr>
            <w:tcW w:w="5260" w:type="dxa"/>
          </w:tcPr>
          <w:p w:rsidR="0094513F" w:rsidRPr="0094513F" w:rsidRDefault="0094513F" w:rsidP="00F2051D">
            <w:pPr>
              <w:rPr>
                <w:rFonts w:cs="Calibri"/>
              </w:rPr>
            </w:pPr>
            <w:r w:rsidRPr="0094513F">
              <w:rPr>
                <w:rFonts w:cs="Calibri"/>
              </w:rPr>
              <w:t>Schedule an extended meeting with Nicola O’Connor</w:t>
            </w:r>
          </w:p>
        </w:tc>
        <w:tc>
          <w:tcPr>
            <w:tcW w:w="1843" w:type="dxa"/>
          </w:tcPr>
          <w:p w:rsidR="0094513F" w:rsidRPr="0094513F" w:rsidRDefault="0094513F" w:rsidP="0094513F">
            <w:pPr>
              <w:rPr>
                <w:rFonts w:cs="Calibri"/>
                <w:b/>
              </w:rPr>
            </w:pPr>
            <w:r w:rsidRPr="0094513F">
              <w:rPr>
                <w:rFonts w:cs="Calibri"/>
                <w:b/>
              </w:rPr>
              <w:t>EEPH</w:t>
            </w:r>
          </w:p>
        </w:tc>
        <w:tc>
          <w:tcPr>
            <w:tcW w:w="1275" w:type="dxa"/>
          </w:tcPr>
          <w:p w:rsidR="0094513F" w:rsidRPr="0094513F" w:rsidRDefault="00F2051D" w:rsidP="009B1E77">
            <w:pPr>
              <w:rPr>
                <w:rFonts w:cs="Calibri"/>
              </w:rPr>
            </w:pPr>
            <w:r>
              <w:rPr>
                <w:rFonts w:cs="Calibri"/>
              </w:rPr>
              <w:t>Nov</w:t>
            </w:r>
          </w:p>
        </w:tc>
      </w:tr>
      <w:tr w:rsidR="0094513F" w:rsidRPr="0094513F" w:rsidTr="0094513F">
        <w:trPr>
          <w:jc w:val="center"/>
        </w:trPr>
        <w:tc>
          <w:tcPr>
            <w:tcW w:w="921" w:type="dxa"/>
            <w:vMerge w:val="restart"/>
          </w:tcPr>
          <w:p w:rsidR="0094513F" w:rsidRPr="0094513F" w:rsidRDefault="0094513F" w:rsidP="0094513F">
            <w:pPr>
              <w:jc w:val="center"/>
              <w:rPr>
                <w:rFonts w:cs="Calibri"/>
              </w:rPr>
            </w:pPr>
            <w:r w:rsidRPr="0094513F">
              <w:rPr>
                <w:rFonts w:cs="Calibri"/>
              </w:rPr>
              <w:t>7</w:t>
            </w:r>
          </w:p>
        </w:tc>
        <w:tc>
          <w:tcPr>
            <w:tcW w:w="5260" w:type="dxa"/>
          </w:tcPr>
          <w:p w:rsidR="0094513F" w:rsidRPr="0094513F" w:rsidRDefault="0094513F" w:rsidP="00F2051D">
            <w:pPr>
              <w:rPr>
                <w:rFonts w:cs="Calibri"/>
              </w:rPr>
            </w:pPr>
            <w:r w:rsidRPr="0094513F">
              <w:rPr>
                <w:rFonts w:cs="Calibri"/>
              </w:rPr>
              <w:t>Compile a report</w:t>
            </w:r>
            <w:r w:rsidR="00F2051D">
              <w:rPr>
                <w:rFonts w:cs="Calibri"/>
              </w:rPr>
              <w:t xml:space="preserve"> on progress with the Action Plan</w:t>
            </w:r>
          </w:p>
        </w:tc>
        <w:tc>
          <w:tcPr>
            <w:tcW w:w="1843" w:type="dxa"/>
          </w:tcPr>
          <w:p w:rsidR="0094513F" w:rsidRPr="0094513F" w:rsidRDefault="0094513F" w:rsidP="0094513F">
            <w:pPr>
              <w:rPr>
                <w:rFonts w:cs="Calibri"/>
                <w:b/>
              </w:rPr>
            </w:pPr>
            <w:r w:rsidRPr="0094513F">
              <w:rPr>
                <w:rFonts w:cs="Calibri"/>
                <w:b/>
              </w:rPr>
              <w:t>EEPH</w:t>
            </w:r>
          </w:p>
        </w:tc>
        <w:tc>
          <w:tcPr>
            <w:tcW w:w="1275" w:type="dxa"/>
          </w:tcPr>
          <w:p w:rsidR="0094513F" w:rsidRPr="0094513F" w:rsidRDefault="009304A5" w:rsidP="009B1E77">
            <w:pPr>
              <w:rPr>
                <w:rFonts w:cs="Calibri"/>
              </w:rPr>
            </w:pPr>
            <w:r>
              <w:rPr>
                <w:rFonts w:cs="Calibri"/>
              </w:rPr>
              <w:t>Oct</w:t>
            </w:r>
          </w:p>
        </w:tc>
      </w:tr>
      <w:tr w:rsidR="0094513F" w:rsidRPr="0094513F" w:rsidTr="0094513F">
        <w:trPr>
          <w:jc w:val="center"/>
        </w:trPr>
        <w:tc>
          <w:tcPr>
            <w:tcW w:w="921" w:type="dxa"/>
            <w:vMerge/>
          </w:tcPr>
          <w:p w:rsidR="0094513F" w:rsidRPr="0094513F" w:rsidRDefault="0094513F" w:rsidP="009B1E77">
            <w:pPr>
              <w:jc w:val="center"/>
              <w:rPr>
                <w:rFonts w:cs="Calibri"/>
              </w:rPr>
            </w:pPr>
          </w:p>
        </w:tc>
        <w:tc>
          <w:tcPr>
            <w:tcW w:w="5260" w:type="dxa"/>
          </w:tcPr>
          <w:p w:rsidR="0094513F" w:rsidRPr="0094513F" w:rsidRDefault="0094513F" w:rsidP="0094513F">
            <w:pPr>
              <w:rPr>
                <w:rFonts w:cs="Calibri"/>
              </w:rPr>
            </w:pPr>
            <w:proofErr w:type="spellStart"/>
            <w:r w:rsidRPr="0094513F">
              <w:rPr>
                <w:rFonts w:cs="Calibri"/>
              </w:rPr>
              <w:t>Ofgem</w:t>
            </w:r>
            <w:proofErr w:type="spellEnd"/>
            <w:r w:rsidRPr="0094513F">
              <w:rPr>
                <w:rFonts w:cs="Calibri"/>
              </w:rPr>
              <w:t xml:space="preserve"> and the Energy Network Association to be scheduled into (a part of) the next meeting</w:t>
            </w:r>
          </w:p>
        </w:tc>
        <w:tc>
          <w:tcPr>
            <w:tcW w:w="1843" w:type="dxa"/>
          </w:tcPr>
          <w:p w:rsidR="0094513F" w:rsidRPr="0094513F" w:rsidRDefault="0094513F" w:rsidP="0094513F">
            <w:pPr>
              <w:rPr>
                <w:rFonts w:cs="Calibri"/>
                <w:b/>
              </w:rPr>
            </w:pPr>
            <w:r w:rsidRPr="0094513F">
              <w:rPr>
                <w:rFonts w:cs="Calibri"/>
                <w:b/>
              </w:rPr>
              <w:t>EEPH</w:t>
            </w:r>
          </w:p>
        </w:tc>
        <w:tc>
          <w:tcPr>
            <w:tcW w:w="1275" w:type="dxa"/>
          </w:tcPr>
          <w:p w:rsidR="0094513F" w:rsidRPr="0094513F" w:rsidRDefault="00F2051D" w:rsidP="009B1E77">
            <w:pPr>
              <w:rPr>
                <w:rFonts w:cs="Calibri"/>
              </w:rPr>
            </w:pPr>
            <w:r>
              <w:rPr>
                <w:rFonts w:cs="Calibri"/>
              </w:rPr>
              <w:t>Nov</w:t>
            </w:r>
          </w:p>
        </w:tc>
      </w:tr>
    </w:tbl>
    <w:p w:rsidR="002D3049" w:rsidRPr="002D3049" w:rsidRDefault="002D3049" w:rsidP="002D3049">
      <w:pPr>
        <w:rPr>
          <w:sz w:val="23"/>
        </w:rPr>
      </w:pPr>
    </w:p>
    <w:sectPr w:rsidR="002D3049" w:rsidRPr="002D3049" w:rsidSect="002D3049">
      <w:footerReference w:type="default" r:id="rId13"/>
      <w:pgSz w:w="11906" w:h="16838"/>
      <w:pgMar w:top="1247" w:right="1247" w:bottom="1418"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4736" w:rsidRDefault="00754736" w:rsidP="008B0774">
      <w:r>
        <w:separator/>
      </w:r>
    </w:p>
  </w:endnote>
  <w:endnote w:type="continuationSeparator" w:id="0">
    <w:p w:rsidR="00754736" w:rsidRDefault="00754736" w:rsidP="008B07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00022FF" w:usb1="C000205B" w:usb2="00000009" w:usb3="00000000" w:csb0="000001D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16CE" w:rsidRDefault="002C16CE" w:rsidP="008B0774">
    <w:pPr>
      <w:pStyle w:val="Footer"/>
      <w:pBdr>
        <w:top w:val="single" w:sz="4" w:space="1" w:color="B3B3C3"/>
      </w:pBdr>
      <w:jc w:val="right"/>
    </w:pPr>
    <w:r>
      <w:t xml:space="preserve">Page </w:t>
    </w:r>
    <w:r w:rsidR="00CF351A">
      <w:fldChar w:fldCharType="begin"/>
    </w:r>
    <w:r>
      <w:instrText xml:space="preserve"> PAGE   \* MERGEFORMAT </w:instrText>
    </w:r>
    <w:r w:rsidR="00CF351A">
      <w:fldChar w:fldCharType="separate"/>
    </w:r>
    <w:r w:rsidR="009D7617">
      <w:rPr>
        <w:noProof/>
      </w:rPr>
      <w:t>2</w:t>
    </w:r>
    <w:r w:rsidR="00CF351A">
      <w:rPr>
        <w:noProof/>
      </w:rPr>
      <w:fldChar w:fldCharType="end"/>
    </w:r>
    <w:r>
      <w:t xml:space="preserve"> of </w:t>
    </w:r>
    <w:r w:rsidR="009D7617">
      <w:fldChar w:fldCharType="begin"/>
    </w:r>
    <w:r w:rsidR="009D7617">
      <w:instrText xml:space="preserve"> NUMPAGES   \* MERGEFORMAT </w:instrText>
    </w:r>
    <w:r w:rsidR="009D7617">
      <w:fldChar w:fldCharType="separate"/>
    </w:r>
    <w:r w:rsidR="009D7617">
      <w:rPr>
        <w:noProof/>
      </w:rPr>
      <w:t>4</w:t>
    </w:r>
    <w:r w:rsidR="009D7617">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4736" w:rsidRDefault="00754736" w:rsidP="008B0774">
      <w:r>
        <w:separator/>
      </w:r>
    </w:p>
  </w:footnote>
  <w:footnote w:type="continuationSeparator" w:id="0">
    <w:p w:rsidR="00754736" w:rsidRDefault="00754736" w:rsidP="008B07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406CF8A"/>
    <w:lvl w:ilvl="0">
      <w:start w:val="1"/>
      <w:numFmt w:val="decimal"/>
      <w:lvlText w:val="%1."/>
      <w:lvlJc w:val="left"/>
      <w:pPr>
        <w:tabs>
          <w:tab w:val="num" w:pos="1492"/>
        </w:tabs>
        <w:ind w:left="1492" w:hanging="360"/>
      </w:pPr>
    </w:lvl>
  </w:abstractNum>
  <w:abstractNum w:abstractNumId="1">
    <w:nsid w:val="FFFFFF7D"/>
    <w:multiLevelType w:val="singleLevel"/>
    <w:tmpl w:val="0C240F92"/>
    <w:lvl w:ilvl="0">
      <w:start w:val="1"/>
      <w:numFmt w:val="decimal"/>
      <w:lvlText w:val="%1."/>
      <w:lvlJc w:val="left"/>
      <w:pPr>
        <w:tabs>
          <w:tab w:val="num" w:pos="1209"/>
        </w:tabs>
        <w:ind w:left="1209" w:hanging="360"/>
      </w:pPr>
    </w:lvl>
  </w:abstractNum>
  <w:abstractNum w:abstractNumId="2">
    <w:nsid w:val="FFFFFF7E"/>
    <w:multiLevelType w:val="singleLevel"/>
    <w:tmpl w:val="D7649DDC"/>
    <w:lvl w:ilvl="0">
      <w:start w:val="1"/>
      <w:numFmt w:val="decimal"/>
      <w:lvlText w:val="%1."/>
      <w:lvlJc w:val="left"/>
      <w:pPr>
        <w:tabs>
          <w:tab w:val="num" w:pos="926"/>
        </w:tabs>
        <w:ind w:left="926" w:hanging="360"/>
      </w:pPr>
    </w:lvl>
  </w:abstractNum>
  <w:abstractNum w:abstractNumId="3">
    <w:nsid w:val="FFFFFF7F"/>
    <w:multiLevelType w:val="singleLevel"/>
    <w:tmpl w:val="C9B601F2"/>
    <w:lvl w:ilvl="0">
      <w:start w:val="1"/>
      <w:numFmt w:val="decimal"/>
      <w:lvlText w:val="%1."/>
      <w:lvlJc w:val="left"/>
      <w:pPr>
        <w:tabs>
          <w:tab w:val="num" w:pos="643"/>
        </w:tabs>
        <w:ind w:left="643" w:hanging="360"/>
      </w:pPr>
    </w:lvl>
  </w:abstractNum>
  <w:abstractNum w:abstractNumId="4">
    <w:nsid w:val="FFFFFF80"/>
    <w:multiLevelType w:val="singleLevel"/>
    <w:tmpl w:val="5248032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1EC2DC4"/>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B24812F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29180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51D01192"/>
    <w:lvl w:ilvl="0">
      <w:start w:val="1"/>
      <w:numFmt w:val="decimal"/>
      <w:pStyle w:val="ListNumber"/>
      <w:lvlText w:val="%1."/>
      <w:lvlJc w:val="left"/>
      <w:pPr>
        <w:tabs>
          <w:tab w:val="num" w:pos="360"/>
        </w:tabs>
        <w:ind w:left="360" w:hanging="360"/>
      </w:pPr>
    </w:lvl>
  </w:abstractNum>
  <w:abstractNum w:abstractNumId="9">
    <w:nsid w:val="FFFFFF89"/>
    <w:multiLevelType w:val="singleLevel"/>
    <w:tmpl w:val="0FD23E1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5C7D46"/>
    <w:multiLevelType w:val="multilevel"/>
    <w:tmpl w:val="5DD66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1ED054C"/>
    <w:multiLevelType w:val="multilevel"/>
    <w:tmpl w:val="AA483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2C72A4B"/>
    <w:multiLevelType w:val="hybridMultilevel"/>
    <w:tmpl w:val="7BA03690"/>
    <w:lvl w:ilvl="0" w:tplc="0809000F">
      <w:start w:val="1"/>
      <w:numFmt w:val="decimal"/>
      <w:lvlText w:val="%1."/>
      <w:lvlJc w:val="left"/>
      <w:pPr>
        <w:ind w:left="1684" w:hanging="360"/>
      </w:pPr>
    </w:lvl>
    <w:lvl w:ilvl="1" w:tplc="08090019" w:tentative="1">
      <w:start w:val="1"/>
      <w:numFmt w:val="lowerLetter"/>
      <w:lvlText w:val="%2."/>
      <w:lvlJc w:val="left"/>
      <w:pPr>
        <w:ind w:left="2404" w:hanging="360"/>
      </w:pPr>
    </w:lvl>
    <w:lvl w:ilvl="2" w:tplc="0809001B" w:tentative="1">
      <w:start w:val="1"/>
      <w:numFmt w:val="lowerRoman"/>
      <w:lvlText w:val="%3."/>
      <w:lvlJc w:val="right"/>
      <w:pPr>
        <w:ind w:left="3124" w:hanging="180"/>
      </w:pPr>
    </w:lvl>
    <w:lvl w:ilvl="3" w:tplc="0809000F" w:tentative="1">
      <w:start w:val="1"/>
      <w:numFmt w:val="decimal"/>
      <w:lvlText w:val="%4."/>
      <w:lvlJc w:val="left"/>
      <w:pPr>
        <w:ind w:left="3844" w:hanging="360"/>
      </w:pPr>
    </w:lvl>
    <w:lvl w:ilvl="4" w:tplc="08090019" w:tentative="1">
      <w:start w:val="1"/>
      <w:numFmt w:val="lowerLetter"/>
      <w:lvlText w:val="%5."/>
      <w:lvlJc w:val="left"/>
      <w:pPr>
        <w:ind w:left="4564" w:hanging="360"/>
      </w:pPr>
    </w:lvl>
    <w:lvl w:ilvl="5" w:tplc="0809001B" w:tentative="1">
      <w:start w:val="1"/>
      <w:numFmt w:val="lowerRoman"/>
      <w:lvlText w:val="%6."/>
      <w:lvlJc w:val="right"/>
      <w:pPr>
        <w:ind w:left="5284" w:hanging="180"/>
      </w:pPr>
    </w:lvl>
    <w:lvl w:ilvl="6" w:tplc="0809000F" w:tentative="1">
      <w:start w:val="1"/>
      <w:numFmt w:val="decimal"/>
      <w:lvlText w:val="%7."/>
      <w:lvlJc w:val="left"/>
      <w:pPr>
        <w:ind w:left="6004" w:hanging="360"/>
      </w:pPr>
    </w:lvl>
    <w:lvl w:ilvl="7" w:tplc="08090019" w:tentative="1">
      <w:start w:val="1"/>
      <w:numFmt w:val="lowerLetter"/>
      <w:lvlText w:val="%8."/>
      <w:lvlJc w:val="left"/>
      <w:pPr>
        <w:ind w:left="6724" w:hanging="360"/>
      </w:pPr>
    </w:lvl>
    <w:lvl w:ilvl="8" w:tplc="0809001B" w:tentative="1">
      <w:start w:val="1"/>
      <w:numFmt w:val="lowerRoman"/>
      <w:lvlText w:val="%9."/>
      <w:lvlJc w:val="right"/>
      <w:pPr>
        <w:ind w:left="7444" w:hanging="180"/>
      </w:pPr>
    </w:lvl>
  </w:abstractNum>
  <w:abstractNum w:abstractNumId="13">
    <w:nsid w:val="08D8705B"/>
    <w:multiLevelType w:val="multilevel"/>
    <w:tmpl w:val="35009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A4D6EF8"/>
    <w:multiLevelType w:val="hybridMultilevel"/>
    <w:tmpl w:val="FF9CD2DC"/>
    <w:lvl w:ilvl="0" w:tplc="0809000F">
      <w:start w:val="1"/>
      <w:numFmt w:val="decimal"/>
      <w:lvlText w:val="%1."/>
      <w:lvlJc w:val="left"/>
      <w:pPr>
        <w:tabs>
          <w:tab w:val="num" w:pos="1800"/>
        </w:tabs>
        <w:ind w:left="1800" w:hanging="360"/>
      </w:pPr>
      <w:rPr>
        <w:rFonts w:hint="default"/>
      </w:rPr>
    </w:lvl>
    <w:lvl w:ilvl="1" w:tplc="08090003" w:tentative="1">
      <w:start w:val="1"/>
      <w:numFmt w:val="bullet"/>
      <w:lvlText w:val="o"/>
      <w:lvlJc w:val="left"/>
      <w:pPr>
        <w:tabs>
          <w:tab w:val="num" w:pos="2520"/>
        </w:tabs>
        <w:ind w:left="2520" w:hanging="360"/>
      </w:pPr>
      <w:rPr>
        <w:rFonts w:ascii="Courier New" w:hAnsi="Courier New" w:cs="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cs="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cs="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15">
    <w:nsid w:val="0EF03D83"/>
    <w:multiLevelType w:val="multilevel"/>
    <w:tmpl w:val="B816999A"/>
    <w:styleLink w:val="StyleNumberedCalibri115ptLeft19cmHanging063cm"/>
    <w:lvl w:ilvl="0">
      <w:start w:val="1"/>
      <w:numFmt w:val="decimal"/>
      <w:lvlText w:val="%1."/>
      <w:lvlJc w:val="left"/>
      <w:pPr>
        <w:ind w:left="720" w:hanging="360"/>
      </w:pPr>
    </w:lvl>
    <w:lvl w:ilvl="1">
      <w:start w:val="1"/>
      <w:numFmt w:val="lowerLetter"/>
      <w:lvlText w:val="%2."/>
      <w:lvlJc w:val="left"/>
      <w:pPr>
        <w:ind w:left="1440" w:hanging="360"/>
      </w:pPr>
      <w:rPr>
        <w:rFonts w:ascii="Calibri" w:hAnsi="Calibri"/>
        <w:sz w:val="23"/>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1959238F"/>
    <w:multiLevelType w:val="hybridMultilevel"/>
    <w:tmpl w:val="C2F47C04"/>
    <w:lvl w:ilvl="0" w:tplc="08090019">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1BB52D93"/>
    <w:multiLevelType w:val="hybridMultilevel"/>
    <w:tmpl w:val="2C60DF74"/>
    <w:lvl w:ilvl="0" w:tplc="08090019">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1D03422A"/>
    <w:multiLevelType w:val="hybridMultilevel"/>
    <w:tmpl w:val="B816999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20B86309"/>
    <w:multiLevelType w:val="hybridMultilevel"/>
    <w:tmpl w:val="2CE8234E"/>
    <w:lvl w:ilvl="0" w:tplc="08090019">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31E13891"/>
    <w:multiLevelType w:val="hybridMultilevel"/>
    <w:tmpl w:val="8A1E41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5041E65"/>
    <w:multiLevelType w:val="hybridMultilevel"/>
    <w:tmpl w:val="E1A047D8"/>
    <w:lvl w:ilvl="0" w:tplc="08090019">
      <w:start w:val="1"/>
      <w:numFmt w:val="low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3B347C70"/>
    <w:multiLevelType w:val="hybridMultilevel"/>
    <w:tmpl w:val="2C504018"/>
    <w:lvl w:ilvl="0" w:tplc="08090019">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3B822A95"/>
    <w:multiLevelType w:val="multilevel"/>
    <w:tmpl w:val="7BE47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1D41FD3"/>
    <w:multiLevelType w:val="multilevel"/>
    <w:tmpl w:val="B816999A"/>
    <w:numStyleLink w:val="StyleNumberedCalibri115ptLeft19cmHanging063cm"/>
  </w:abstractNum>
  <w:abstractNum w:abstractNumId="25">
    <w:nsid w:val="4A223DF0"/>
    <w:multiLevelType w:val="hybridMultilevel"/>
    <w:tmpl w:val="B7EE941A"/>
    <w:lvl w:ilvl="0" w:tplc="08090019">
      <w:start w:val="1"/>
      <w:numFmt w:val="lowerLetter"/>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nsid w:val="52346530"/>
    <w:multiLevelType w:val="hybridMultilevel"/>
    <w:tmpl w:val="6C34951A"/>
    <w:lvl w:ilvl="0" w:tplc="08090019">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nsid w:val="5523578D"/>
    <w:multiLevelType w:val="multilevel"/>
    <w:tmpl w:val="EF8A4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A341236"/>
    <w:multiLevelType w:val="hybridMultilevel"/>
    <w:tmpl w:val="078CCA18"/>
    <w:lvl w:ilvl="0" w:tplc="953465A0">
      <w:start w:val="3"/>
      <w:numFmt w:val="bullet"/>
      <w:lvlText w:val="-"/>
      <w:lvlJc w:val="left"/>
      <w:pPr>
        <w:ind w:left="720" w:hanging="360"/>
      </w:pPr>
      <w:rPr>
        <w:rFonts w:ascii="Segoe UI" w:eastAsia="Times New Roman" w:hAnsi="Segoe UI" w:cs="Segoe UI"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23"/>
  </w:num>
  <w:num w:numId="4">
    <w:abstractNumId w:val="10"/>
  </w:num>
  <w:num w:numId="5">
    <w:abstractNumId w:val="27"/>
  </w:num>
  <w:num w:numId="6">
    <w:abstractNumId w:val="14"/>
  </w:num>
  <w:num w:numId="7">
    <w:abstractNumId w:val="21"/>
  </w:num>
  <w:num w:numId="8">
    <w:abstractNumId w:val="19"/>
  </w:num>
  <w:num w:numId="9">
    <w:abstractNumId w:val="22"/>
  </w:num>
  <w:num w:numId="10">
    <w:abstractNumId w:val="16"/>
  </w:num>
  <w:num w:numId="11">
    <w:abstractNumId w:val="25"/>
  </w:num>
  <w:num w:numId="12">
    <w:abstractNumId w:val="17"/>
  </w:num>
  <w:num w:numId="13">
    <w:abstractNumId w:val="26"/>
  </w:num>
  <w:num w:numId="14">
    <w:abstractNumId w:val="28"/>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 w:numId="25">
    <w:abstractNumId w:val="8"/>
    <w:lvlOverride w:ilvl="0">
      <w:startOverride w:val="1"/>
    </w:lvlOverride>
  </w:num>
  <w:num w:numId="26">
    <w:abstractNumId w:val="6"/>
  </w:num>
  <w:num w:numId="27">
    <w:abstractNumId w:val="5"/>
  </w:num>
  <w:num w:numId="28">
    <w:abstractNumId w:val="12"/>
  </w:num>
  <w:num w:numId="29">
    <w:abstractNumId w:val="18"/>
  </w:num>
  <w:num w:numId="30">
    <w:abstractNumId w:val="15"/>
  </w:num>
  <w:num w:numId="31">
    <w:abstractNumId w:val="24"/>
  </w:num>
  <w:num w:numId="32">
    <w:abstractNumId w:val="8"/>
    <w:lvlOverride w:ilvl="0">
      <w:startOverride w:val="1"/>
    </w:lvlOverride>
  </w:num>
  <w:num w:numId="33">
    <w:abstractNumId w:val="8"/>
    <w:lvlOverride w:ilvl="0">
      <w:startOverride w:val="1"/>
    </w:lvlOverride>
  </w:num>
  <w:num w:numId="34">
    <w:abstractNumId w:val="8"/>
    <w:lvlOverride w:ilvl="0">
      <w:startOverride w:val="1"/>
    </w:lvlOverride>
  </w:num>
  <w:num w:numId="35">
    <w:abstractNumId w:val="9"/>
  </w:num>
  <w:num w:numId="36">
    <w:abstractNumId w:val="9"/>
  </w:num>
  <w:num w:numId="37">
    <w:abstractNumId w:val="9"/>
  </w:num>
  <w:num w:numId="38">
    <w:abstractNumId w:val="9"/>
  </w:num>
  <w:num w:numId="39">
    <w:abstractNumId w:val="9"/>
  </w:num>
  <w:num w:numId="40">
    <w:abstractNumId w:val="9"/>
  </w:num>
  <w:num w:numId="41">
    <w:abstractNumId w:val="9"/>
  </w:num>
  <w:num w:numId="42">
    <w:abstractNumId w:val="9"/>
  </w:num>
  <w:num w:numId="43">
    <w:abstractNumId w:val="9"/>
  </w:num>
  <w:num w:numId="44">
    <w:abstractNumId w:val="9"/>
  </w:num>
  <w:num w:numId="45">
    <w:abstractNumId w:val="9"/>
  </w:num>
  <w:num w:numId="46">
    <w:abstractNumId w:val="9"/>
  </w:num>
  <w:num w:numId="47">
    <w:abstractNumId w:val="9"/>
  </w:num>
  <w:num w:numId="48">
    <w:abstractNumId w:val="9"/>
  </w:num>
  <w:num w:numId="4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embedSystemFont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79"/>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3C84"/>
    <w:rsid w:val="000570B1"/>
    <w:rsid w:val="000633E2"/>
    <w:rsid w:val="000A2A04"/>
    <w:rsid w:val="000F3755"/>
    <w:rsid w:val="00147A83"/>
    <w:rsid w:val="00162480"/>
    <w:rsid w:val="0016320F"/>
    <w:rsid w:val="00175D57"/>
    <w:rsid w:val="001B3622"/>
    <w:rsid w:val="001C1FB2"/>
    <w:rsid w:val="001D3B35"/>
    <w:rsid w:val="001E7024"/>
    <w:rsid w:val="001E769C"/>
    <w:rsid w:val="001F2F1F"/>
    <w:rsid w:val="001F5D8C"/>
    <w:rsid w:val="00202AF8"/>
    <w:rsid w:val="0024543E"/>
    <w:rsid w:val="0025133A"/>
    <w:rsid w:val="0026491A"/>
    <w:rsid w:val="00272A4A"/>
    <w:rsid w:val="00277BF5"/>
    <w:rsid w:val="002C16CE"/>
    <w:rsid w:val="002D043C"/>
    <w:rsid w:val="002D1BE1"/>
    <w:rsid w:val="002D3049"/>
    <w:rsid w:val="00313842"/>
    <w:rsid w:val="00326251"/>
    <w:rsid w:val="0036257E"/>
    <w:rsid w:val="0039595E"/>
    <w:rsid w:val="003A44DB"/>
    <w:rsid w:val="003C552D"/>
    <w:rsid w:val="00425438"/>
    <w:rsid w:val="004411DF"/>
    <w:rsid w:val="00442F8B"/>
    <w:rsid w:val="00452B95"/>
    <w:rsid w:val="004547EF"/>
    <w:rsid w:val="0047187B"/>
    <w:rsid w:val="004A222E"/>
    <w:rsid w:val="004C5D22"/>
    <w:rsid w:val="005101AC"/>
    <w:rsid w:val="00522430"/>
    <w:rsid w:val="0055034D"/>
    <w:rsid w:val="005A5600"/>
    <w:rsid w:val="005C799F"/>
    <w:rsid w:val="00614E59"/>
    <w:rsid w:val="006169EC"/>
    <w:rsid w:val="006216DE"/>
    <w:rsid w:val="00690B2E"/>
    <w:rsid w:val="006A75AF"/>
    <w:rsid w:val="006E5EB3"/>
    <w:rsid w:val="00747188"/>
    <w:rsid w:val="00752774"/>
    <w:rsid w:val="00754736"/>
    <w:rsid w:val="00782F21"/>
    <w:rsid w:val="00793F3F"/>
    <w:rsid w:val="007C0DBE"/>
    <w:rsid w:val="007F01B7"/>
    <w:rsid w:val="007F60F0"/>
    <w:rsid w:val="00800D70"/>
    <w:rsid w:val="00807D6E"/>
    <w:rsid w:val="00814796"/>
    <w:rsid w:val="00823C84"/>
    <w:rsid w:val="00882302"/>
    <w:rsid w:val="00887203"/>
    <w:rsid w:val="00896BEB"/>
    <w:rsid w:val="008B0774"/>
    <w:rsid w:val="008B1021"/>
    <w:rsid w:val="008E679F"/>
    <w:rsid w:val="008F336D"/>
    <w:rsid w:val="00903D18"/>
    <w:rsid w:val="009304A5"/>
    <w:rsid w:val="0094513F"/>
    <w:rsid w:val="00975105"/>
    <w:rsid w:val="009B1E77"/>
    <w:rsid w:val="009B2D7E"/>
    <w:rsid w:val="009D426E"/>
    <w:rsid w:val="009D7617"/>
    <w:rsid w:val="009E2002"/>
    <w:rsid w:val="00A25D11"/>
    <w:rsid w:val="00A32128"/>
    <w:rsid w:val="00A601F2"/>
    <w:rsid w:val="00A9485D"/>
    <w:rsid w:val="00B05D37"/>
    <w:rsid w:val="00B1734D"/>
    <w:rsid w:val="00B24086"/>
    <w:rsid w:val="00B536DB"/>
    <w:rsid w:val="00B7268F"/>
    <w:rsid w:val="00B84548"/>
    <w:rsid w:val="00BA7254"/>
    <w:rsid w:val="00BD10D3"/>
    <w:rsid w:val="00C02FC3"/>
    <w:rsid w:val="00C03821"/>
    <w:rsid w:val="00C17222"/>
    <w:rsid w:val="00C26D37"/>
    <w:rsid w:val="00C41579"/>
    <w:rsid w:val="00C50C4D"/>
    <w:rsid w:val="00C61CCB"/>
    <w:rsid w:val="00C647DD"/>
    <w:rsid w:val="00C66776"/>
    <w:rsid w:val="00C74865"/>
    <w:rsid w:val="00CA674E"/>
    <w:rsid w:val="00CF23E6"/>
    <w:rsid w:val="00CF351A"/>
    <w:rsid w:val="00CF3F8A"/>
    <w:rsid w:val="00D14F9E"/>
    <w:rsid w:val="00D15662"/>
    <w:rsid w:val="00D43832"/>
    <w:rsid w:val="00D6123B"/>
    <w:rsid w:val="00D93BC5"/>
    <w:rsid w:val="00E134B1"/>
    <w:rsid w:val="00E33FE4"/>
    <w:rsid w:val="00E45BE7"/>
    <w:rsid w:val="00E65878"/>
    <w:rsid w:val="00E8619E"/>
    <w:rsid w:val="00E86ABB"/>
    <w:rsid w:val="00E9772C"/>
    <w:rsid w:val="00EA36A4"/>
    <w:rsid w:val="00ED1579"/>
    <w:rsid w:val="00EE39BB"/>
    <w:rsid w:val="00F03DBF"/>
    <w:rsid w:val="00F2051D"/>
    <w:rsid w:val="00F9033C"/>
    <w:rsid w:val="00F955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List Number" w:uiPriority="99"/>
    <w:lsdException w:name="List Number 3"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1E77"/>
    <w:rPr>
      <w:rFonts w:ascii="Calibri" w:hAnsi="Calibri"/>
      <w:sz w:val="22"/>
      <w:szCs w:val="24"/>
    </w:rPr>
  </w:style>
  <w:style w:type="paragraph" w:styleId="Heading1">
    <w:name w:val="heading 1"/>
    <w:basedOn w:val="Normal"/>
    <w:next w:val="Normal"/>
    <w:link w:val="Heading1Char"/>
    <w:qFormat/>
    <w:rsid w:val="00C647DD"/>
    <w:pPr>
      <w:keepNext/>
      <w:spacing w:before="100" w:beforeAutospacing="1" w:after="240"/>
      <w:outlineLvl w:val="0"/>
    </w:pPr>
    <w:rPr>
      <w:rFonts w:ascii="Segoe UI" w:hAnsi="Segoe UI" w:cs="Arial"/>
      <w:b/>
      <w:bCs/>
      <w:spacing w:val="4"/>
      <w:kern w:val="32"/>
      <w:sz w:val="36"/>
      <w:szCs w:val="32"/>
    </w:rPr>
  </w:style>
  <w:style w:type="paragraph" w:styleId="Heading2">
    <w:name w:val="heading 2"/>
    <w:basedOn w:val="Normal"/>
    <w:next w:val="Normal"/>
    <w:qFormat/>
    <w:rsid w:val="00C647DD"/>
    <w:pPr>
      <w:keepNext/>
      <w:spacing w:before="360" w:after="240"/>
      <w:outlineLvl w:val="1"/>
    </w:pPr>
    <w:rPr>
      <w:rFonts w:ascii="Segoe UI" w:hAnsi="Segoe UI" w:cs="Arial"/>
      <w:b/>
      <w:bCs/>
      <w:iCs/>
      <w:sz w:val="32"/>
      <w:szCs w:val="28"/>
    </w:rPr>
  </w:style>
  <w:style w:type="paragraph" w:styleId="Heading3">
    <w:name w:val="heading 3"/>
    <w:basedOn w:val="Normal"/>
    <w:next w:val="Normal"/>
    <w:qFormat/>
    <w:rsid w:val="00C647DD"/>
    <w:pPr>
      <w:keepNext/>
      <w:spacing w:before="60" w:after="60"/>
      <w:outlineLvl w:val="2"/>
    </w:pPr>
    <w:rPr>
      <w:rFonts w:ascii="Segoe UI" w:hAnsi="Segoe UI" w:cs="Arial"/>
      <w:b/>
      <w:bCs/>
      <w:spacing w:val="6"/>
      <w:sz w:val="24"/>
      <w:szCs w:val="26"/>
    </w:rPr>
  </w:style>
  <w:style w:type="paragraph" w:styleId="Heading4">
    <w:name w:val="heading 4"/>
    <w:basedOn w:val="Normal"/>
    <w:next w:val="Normal"/>
    <w:link w:val="Heading4Char"/>
    <w:unhideWhenUsed/>
    <w:qFormat/>
    <w:rsid w:val="00C647DD"/>
    <w:pPr>
      <w:keepNext/>
      <w:spacing w:before="360" w:after="120"/>
      <w:ind w:left="170"/>
      <w:outlineLvl w:val="3"/>
    </w:pPr>
    <w:rPr>
      <w:rFonts w:ascii="Segoe UI" w:hAnsi="Segoe UI" w:cs="Arial"/>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162480"/>
    <w:pPr>
      <w:ind w:left="397" w:right="113" w:hanging="284"/>
    </w:pPr>
    <w:rPr>
      <w:sz w:val="18"/>
      <w:szCs w:val="20"/>
    </w:rPr>
  </w:style>
  <w:style w:type="table" w:styleId="TableGrid">
    <w:name w:val="Table Grid"/>
    <w:basedOn w:val="TableNormal"/>
    <w:rsid w:val="006A75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rsid w:val="008F336D"/>
    <w:pPr>
      <w:numPr>
        <w:numId w:val="15"/>
      </w:numPr>
      <w:contextualSpacing/>
    </w:pPr>
  </w:style>
  <w:style w:type="character" w:customStyle="1" w:styleId="Heading4Char">
    <w:name w:val="Heading 4 Char"/>
    <w:link w:val="Heading4"/>
    <w:rsid w:val="00C647DD"/>
    <w:rPr>
      <w:rFonts w:ascii="Segoe UI" w:hAnsi="Segoe UI" w:cs="Arial"/>
      <w:b/>
      <w:bCs/>
      <w:sz w:val="24"/>
      <w:szCs w:val="26"/>
    </w:rPr>
  </w:style>
  <w:style w:type="paragraph" w:styleId="ListBullet2">
    <w:name w:val="List Bullet 2"/>
    <w:basedOn w:val="Normal"/>
    <w:rsid w:val="00A9485D"/>
    <w:pPr>
      <w:numPr>
        <w:numId w:val="16"/>
      </w:numPr>
      <w:tabs>
        <w:tab w:val="clear" w:pos="643"/>
        <w:tab w:val="num" w:pos="360"/>
      </w:tabs>
      <w:ind w:left="0" w:firstLine="0"/>
      <w:contextualSpacing/>
    </w:pPr>
  </w:style>
  <w:style w:type="paragraph" w:styleId="ListNumber3">
    <w:name w:val="List Number 3"/>
    <w:basedOn w:val="Normal"/>
    <w:uiPriority w:val="99"/>
    <w:unhideWhenUsed/>
    <w:rsid w:val="00272A4A"/>
    <w:pPr>
      <w:tabs>
        <w:tab w:val="num" w:pos="926"/>
      </w:tabs>
      <w:ind w:left="1248" w:hanging="284"/>
      <w:contextualSpacing/>
    </w:pPr>
  </w:style>
  <w:style w:type="paragraph" w:styleId="ListNumber">
    <w:name w:val="List Number"/>
    <w:basedOn w:val="Normal"/>
    <w:uiPriority w:val="99"/>
    <w:rsid w:val="006216DE"/>
    <w:pPr>
      <w:numPr>
        <w:numId w:val="20"/>
      </w:numPr>
      <w:tabs>
        <w:tab w:val="clear" w:pos="360"/>
        <w:tab w:val="num" w:pos="510"/>
      </w:tabs>
      <w:ind w:left="510" w:hanging="397"/>
      <w:contextualSpacing/>
    </w:pPr>
  </w:style>
  <w:style w:type="character" w:customStyle="1" w:styleId="Heading1Char">
    <w:name w:val="Heading 1 Char"/>
    <w:link w:val="Heading1"/>
    <w:rsid w:val="00C647DD"/>
    <w:rPr>
      <w:rFonts w:ascii="Segoe UI" w:hAnsi="Segoe UI" w:cs="Arial"/>
      <w:b/>
      <w:bCs/>
      <w:spacing w:val="4"/>
      <w:kern w:val="32"/>
      <w:sz w:val="36"/>
      <w:szCs w:val="32"/>
    </w:rPr>
  </w:style>
  <w:style w:type="numbering" w:customStyle="1" w:styleId="StyleNumberedCalibri115ptLeft19cmHanging063cm">
    <w:name w:val="Style Numbered Calibri 11.5 pt Left:  1.9 cm Hanging:  0.63 cm"/>
    <w:basedOn w:val="NoList"/>
    <w:rsid w:val="006216DE"/>
    <w:pPr>
      <w:numPr>
        <w:numId w:val="30"/>
      </w:numPr>
    </w:pPr>
  </w:style>
  <w:style w:type="paragraph" w:styleId="Header">
    <w:name w:val="header"/>
    <w:basedOn w:val="Normal"/>
    <w:link w:val="HeaderChar"/>
    <w:rsid w:val="008B0774"/>
    <w:pPr>
      <w:tabs>
        <w:tab w:val="center" w:pos="4513"/>
        <w:tab w:val="right" w:pos="9026"/>
      </w:tabs>
    </w:pPr>
  </w:style>
  <w:style w:type="character" w:customStyle="1" w:styleId="HeaderChar">
    <w:name w:val="Header Char"/>
    <w:link w:val="Header"/>
    <w:rsid w:val="008B0774"/>
    <w:rPr>
      <w:rFonts w:ascii="Segoe UI" w:hAnsi="Segoe UI"/>
      <w:sz w:val="22"/>
      <w:szCs w:val="24"/>
    </w:rPr>
  </w:style>
  <w:style w:type="paragraph" w:styleId="Footer">
    <w:name w:val="footer"/>
    <w:basedOn w:val="Normal"/>
    <w:link w:val="FooterChar"/>
    <w:uiPriority w:val="99"/>
    <w:rsid w:val="008B0774"/>
    <w:pPr>
      <w:tabs>
        <w:tab w:val="center" w:pos="4513"/>
        <w:tab w:val="right" w:pos="9026"/>
      </w:tabs>
    </w:pPr>
  </w:style>
  <w:style w:type="character" w:customStyle="1" w:styleId="FooterChar">
    <w:name w:val="Footer Char"/>
    <w:link w:val="Footer"/>
    <w:uiPriority w:val="99"/>
    <w:rsid w:val="008B0774"/>
    <w:rPr>
      <w:rFonts w:ascii="Segoe UI" w:hAnsi="Segoe UI"/>
      <w:sz w:val="22"/>
      <w:szCs w:val="24"/>
    </w:rPr>
  </w:style>
  <w:style w:type="paragraph" w:styleId="BalloonText">
    <w:name w:val="Balloon Text"/>
    <w:basedOn w:val="Normal"/>
    <w:link w:val="BalloonTextChar"/>
    <w:rsid w:val="008B0774"/>
    <w:rPr>
      <w:rFonts w:ascii="Tahoma" w:hAnsi="Tahoma" w:cs="Tahoma"/>
      <w:sz w:val="16"/>
      <w:szCs w:val="16"/>
    </w:rPr>
  </w:style>
  <w:style w:type="character" w:customStyle="1" w:styleId="BalloonTextChar">
    <w:name w:val="Balloon Text Char"/>
    <w:link w:val="BalloonText"/>
    <w:rsid w:val="008B0774"/>
    <w:rPr>
      <w:rFonts w:ascii="Tahoma" w:hAnsi="Tahoma" w:cs="Tahoma"/>
      <w:sz w:val="16"/>
      <w:szCs w:val="16"/>
    </w:rPr>
  </w:style>
  <w:style w:type="paragraph" w:styleId="ListBullet3">
    <w:name w:val="List Bullet 3"/>
    <w:basedOn w:val="Normal"/>
    <w:rsid w:val="002D3049"/>
    <w:pPr>
      <w:numPr>
        <w:numId w:val="17"/>
      </w:numPr>
      <w:contextualSpacing/>
    </w:pPr>
  </w:style>
  <w:style w:type="paragraph" w:styleId="ListBullet4">
    <w:name w:val="List Bullet 4"/>
    <w:basedOn w:val="Normal"/>
    <w:rsid w:val="002D3049"/>
    <w:pPr>
      <w:numPr>
        <w:numId w:val="18"/>
      </w:numPr>
      <w:contextualSpacing/>
    </w:pPr>
  </w:style>
  <w:style w:type="character" w:styleId="CommentReference">
    <w:name w:val="annotation reference"/>
    <w:rsid w:val="009D426E"/>
    <w:rPr>
      <w:sz w:val="16"/>
      <w:szCs w:val="16"/>
    </w:rPr>
  </w:style>
  <w:style w:type="paragraph" w:styleId="CommentText">
    <w:name w:val="annotation text"/>
    <w:basedOn w:val="Normal"/>
    <w:link w:val="CommentTextChar"/>
    <w:rsid w:val="009D426E"/>
    <w:rPr>
      <w:sz w:val="20"/>
      <w:szCs w:val="20"/>
    </w:rPr>
  </w:style>
  <w:style w:type="character" w:customStyle="1" w:styleId="CommentTextChar">
    <w:name w:val="Comment Text Char"/>
    <w:link w:val="CommentText"/>
    <w:rsid w:val="009D426E"/>
    <w:rPr>
      <w:rFonts w:ascii="Segoe UI" w:hAnsi="Segoe UI"/>
    </w:rPr>
  </w:style>
  <w:style w:type="paragraph" w:styleId="CommentSubject">
    <w:name w:val="annotation subject"/>
    <w:basedOn w:val="CommentText"/>
    <w:next w:val="CommentText"/>
    <w:link w:val="CommentSubjectChar"/>
    <w:rsid w:val="009D426E"/>
    <w:rPr>
      <w:b/>
      <w:bCs/>
    </w:rPr>
  </w:style>
  <w:style w:type="character" w:customStyle="1" w:styleId="CommentSubjectChar">
    <w:name w:val="Comment Subject Char"/>
    <w:link w:val="CommentSubject"/>
    <w:rsid w:val="009D426E"/>
    <w:rPr>
      <w:rFonts w:ascii="Segoe UI" w:hAnsi="Segoe UI"/>
      <w:b/>
      <w:bCs/>
    </w:rPr>
  </w:style>
  <w:style w:type="paragraph" w:styleId="ListParagraph">
    <w:name w:val="List Paragraph"/>
    <w:basedOn w:val="Normal"/>
    <w:uiPriority w:val="34"/>
    <w:qFormat/>
    <w:rsid w:val="00C41579"/>
    <w:pPr>
      <w:ind w:left="720"/>
      <w:contextualSpacing/>
    </w:pPr>
  </w:style>
  <w:style w:type="character" w:styleId="Hyperlink">
    <w:name w:val="Hyperlink"/>
    <w:rsid w:val="006E5EB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225603">
      <w:bodyDiv w:val="1"/>
      <w:marLeft w:val="0"/>
      <w:marRight w:val="0"/>
      <w:marTop w:val="0"/>
      <w:marBottom w:val="0"/>
      <w:divBdr>
        <w:top w:val="none" w:sz="0" w:space="0" w:color="auto"/>
        <w:left w:val="none" w:sz="0" w:space="0" w:color="auto"/>
        <w:bottom w:val="none" w:sz="0" w:space="0" w:color="auto"/>
        <w:right w:val="none" w:sz="0" w:space="0" w:color="auto"/>
      </w:divBdr>
    </w:div>
    <w:div w:id="945189276">
      <w:bodyDiv w:val="1"/>
      <w:marLeft w:val="0"/>
      <w:marRight w:val="0"/>
      <w:marTop w:val="0"/>
      <w:marBottom w:val="0"/>
      <w:divBdr>
        <w:top w:val="none" w:sz="0" w:space="0" w:color="auto"/>
        <w:left w:val="none" w:sz="0" w:space="0" w:color="auto"/>
        <w:bottom w:val="none" w:sz="0" w:space="0" w:color="auto"/>
        <w:right w:val="none" w:sz="0" w:space="0" w:color="auto"/>
      </w:divBdr>
    </w:div>
    <w:div w:id="1431581841">
      <w:bodyDiv w:val="1"/>
      <w:marLeft w:val="0"/>
      <w:marRight w:val="0"/>
      <w:marTop w:val="0"/>
      <w:marBottom w:val="0"/>
      <w:divBdr>
        <w:top w:val="none" w:sz="0" w:space="0" w:color="auto"/>
        <w:left w:val="none" w:sz="0" w:space="0" w:color="auto"/>
        <w:bottom w:val="none" w:sz="0" w:space="0" w:color="auto"/>
        <w:right w:val="none" w:sz="0" w:space="0" w:color="auto"/>
      </w:divBdr>
    </w:div>
    <w:div w:id="1548687431">
      <w:bodyDiv w:val="1"/>
      <w:marLeft w:val="0"/>
      <w:marRight w:val="0"/>
      <w:marTop w:val="0"/>
      <w:marBottom w:val="0"/>
      <w:divBdr>
        <w:top w:val="none" w:sz="0" w:space="0" w:color="auto"/>
        <w:left w:val="none" w:sz="0" w:space="0" w:color="auto"/>
        <w:bottom w:val="none" w:sz="0" w:space="0" w:color="auto"/>
        <w:right w:val="none" w:sz="0" w:space="0" w:color="auto"/>
      </w:divBdr>
    </w:div>
    <w:div w:id="1906211090">
      <w:bodyDiv w:val="1"/>
      <w:marLeft w:val="0"/>
      <w:marRight w:val="0"/>
      <w:marTop w:val="0"/>
      <w:marBottom w:val="0"/>
      <w:divBdr>
        <w:top w:val="none" w:sz="0" w:space="0" w:color="auto"/>
        <w:left w:val="none" w:sz="0" w:space="0" w:color="auto"/>
        <w:bottom w:val="none" w:sz="0" w:space="0" w:color="auto"/>
        <w:right w:val="none" w:sz="0" w:space="0" w:color="auto"/>
      </w:divBdr>
    </w:div>
    <w:div w:id="212457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drafts.bsigroup.com/Home/Details/86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icrogenerationcertification.org/admin/documents/MIS%203005%20Supplementary%20Information%202%20-%20Heat%20Emitter%20Guide%20v2.0.pd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microgenerationcertification.org/admin/documents/MIS%203005%20Issue%203%200%20Heat%20Pump%20Systems%202011.09.05.pdf" TargetMode="External"/><Relationship Id="rId4" Type="http://schemas.microsoft.com/office/2007/relationships/stylesWithEffects" Target="stylesWithEffects.xml"/><Relationship Id="rId9" Type="http://schemas.openxmlformats.org/officeDocument/2006/relationships/hyperlink" Target="http://www.energysavingtrust.org.uk/content/download/1993114/6783309/file/buyers_guide_renewables.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D8D8E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51132F-48C7-4331-9D5A-919BF6045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1531</Words>
  <Characters>8732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Energy Saving Trust</Company>
  <LinksUpToDate>false</LinksUpToDate>
  <CharactersWithSpaces>10243</CharactersWithSpaces>
  <SharedDoc>false</SharedDoc>
  <HLinks>
    <vt:vector size="24" baseType="variant">
      <vt:variant>
        <vt:i4>2752564</vt:i4>
      </vt:variant>
      <vt:variant>
        <vt:i4>9</vt:i4>
      </vt:variant>
      <vt:variant>
        <vt:i4>0</vt:i4>
      </vt:variant>
      <vt:variant>
        <vt:i4>5</vt:i4>
      </vt:variant>
      <vt:variant>
        <vt:lpwstr>http://drafts.bsigroup.com/Home/Details/861</vt:lpwstr>
      </vt:variant>
      <vt:variant>
        <vt:lpwstr/>
      </vt:variant>
      <vt:variant>
        <vt:i4>3801194</vt:i4>
      </vt:variant>
      <vt:variant>
        <vt:i4>6</vt:i4>
      </vt:variant>
      <vt:variant>
        <vt:i4>0</vt:i4>
      </vt:variant>
      <vt:variant>
        <vt:i4>5</vt:i4>
      </vt:variant>
      <vt:variant>
        <vt:lpwstr>http://www.microgenerationcertification.org/admin/documents/MIS 3005 Supplementary Information 2 - Heat Emitter Guide v2.0.pdf</vt:lpwstr>
      </vt:variant>
      <vt:variant>
        <vt:lpwstr/>
      </vt:variant>
      <vt:variant>
        <vt:i4>3276908</vt:i4>
      </vt:variant>
      <vt:variant>
        <vt:i4>3</vt:i4>
      </vt:variant>
      <vt:variant>
        <vt:i4>0</vt:i4>
      </vt:variant>
      <vt:variant>
        <vt:i4>5</vt:i4>
      </vt:variant>
      <vt:variant>
        <vt:lpwstr>http://www.microgenerationcertification.org/admin/documents/MIS 3005 Issue 3 0 Heat Pump Systems 2011.09.05.pdf</vt:lpwstr>
      </vt:variant>
      <vt:variant>
        <vt:lpwstr/>
      </vt:variant>
      <vt:variant>
        <vt:i4>5373978</vt:i4>
      </vt:variant>
      <vt:variant>
        <vt:i4>0</vt:i4>
      </vt:variant>
      <vt:variant>
        <vt:i4>0</vt:i4>
      </vt:variant>
      <vt:variant>
        <vt:i4>5</vt:i4>
      </vt:variant>
      <vt:variant>
        <vt:lpwstr>http://www.energysavingtrust.org.uk/content/download/1993114/6783309/file/buyers_guide_renewables.pdf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Mathias Hessler</dc:creator>
  <cp:keywords/>
  <dc:description/>
  <cp:lastModifiedBy>Mathias Hessler</cp:lastModifiedBy>
  <cp:revision>3</cp:revision>
  <cp:lastPrinted>2011-09-29T10:11:00Z</cp:lastPrinted>
  <dcterms:created xsi:type="dcterms:W3CDTF">2011-09-29T12:01:00Z</dcterms:created>
  <dcterms:modified xsi:type="dcterms:W3CDTF">2011-09-29T12:07:00Z</dcterms:modified>
</cp:coreProperties>
</file>